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31B" w:rsidRPr="00AC54A4" w:rsidRDefault="004A231B" w:rsidP="00AC54A4">
      <w:pPr>
        <w:jc w:val="both"/>
        <w:rPr>
          <w:rFonts w:ascii="Times New Roman" w:hAnsi="Times New Roman"/>
          <w:sz w:val="26"/>
          <w:szCs w:val="26"/>
        </w:rPr>
      </w:pPr>
      <w:r w:rsidRPr="00AC54A4">
        <w:rPr>
          <w:rFonts w:ascii="Times New Roman" w:hAnsi="Times New Roman"/>
          <w:b/>
          <w:bCs/>
          <w:sz w:val="26"/>
          <w:szCs w:val="26"/>
        </w:rPr>
        <w:t>Концепция охраны репродуктивного здоровья и активного социального долголетия</w:t>
      </w:r>
    </w:p>
    <w:p w:rsidR="00911B44" w:rsidRPr="00AC54A4" w:rsidRDefault="004A231B" w:rsidP="00AC54A4">
      <w:pPr>
        <w:jc w:val="both"/>
        <w:rPr>
          <w:rFonts w:ascii="Times New Roman" w:hAnsi="Times New Roman"/>
          <w:sz w:val="26"/>
          <w:szCs w:val="26"/>
        </w:rPr>
      </w:pPr>
      <w:proofErr w:type="spellStart"/>
      <w:r w:rsidRPr="00AC54A4">
        <w:rPr>
          <w:rFonts w:ascii="Times New Roman" w:hAnsi="Times New Roman"/>
          <w:sz w:val="26"/>
          <w:szCs w:val="26"/>
        </w:rPr>
        <w:t>Аполихин</w:t>
      </w:r>
      <w:proofErr w:type="spellEnd"/>
      <w:r w:rsidRPr="00AC54A4">
        <w:rPr>
          <w:rFonts w:ascii="Times New Roman" w:hAnsi="Times New Roman"/>
          <w:sz w:val="26"/>
          <w:szCs w:val="26"/>
        </w:rPr>
        <w:t xml:space="preserve"> Олег Иванович  - главный специалист Минздрава России по репродуктивному здоровью</w:t>
      </w:r>
      <w:r w:rsidR="001F12FC">
        <w:rPr>
          <w:rFonts w:ascii="Times New Roman" w:hAnsi="Times New Roman"/>
          <w:sz w:val="26"/>
          <w:szCs w:val="26"/>
        </w:rPr>
        <w:t xml:space="preserve">, </w:t>
      </w:r>
      <w:r w:rsidRPr="00AC54A4">
        <w:rPr>
          <w:rFonts w:ascii="Times New Roman" w:hAnsi="Times New Roman"/>
          <w:sz w:val="26"/>
          <w:szCs w:val="26"/>
        </w:rPr>
        <w:t>д.м.н., профессор, директор НИИ урологии и интервенционной радиологии им. Н.А. Лопаткина.</w:t>
      </w:r>
    </w:p>
    <w:p w:rsidR="00E06445" w:rsidRPr="00E06445" w:rsidRDefault="004D6849" w:rsidP="004D6849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4D6849">
        <w:rPr>
          <w:rFonts w:ascii="Times New Roman" w:hAnsi="Times New Roman"/>
          <w:sz w:val="26"/>
          <w:szCs w:val="26"/>
        </w:rPr>
        <w:t>Министерство здравоохранения</w:t>
      </w:r>
      <w:r>
        <w:rPr>
          <w:rFonts w:ascii="Times New Roman" w:hAnsi="Times New Roman"/>
          <w:sz w:val="26"/>
          <w:szCs w:val="26"/>
        </w:rPr>
        <w:t xml:space="preserve"> Российской Федерации</w:t>
      </w:r>
      <w:r w:rsidRPr="004D6849">
        <w:rPr>
          <w:rFonts w:ascii="Times New Roman" w:hAnsi="Times New Roman"/>
          <w:sz w:val="26"/>
          <w:szCs w:val="26"/>
        </w:rPr>
        <w:t xml:space="preserve"> добилось колоссальных успехов в борьбе с материнской и младенческой смертностью. Эти показатели достигли исторического минимума. 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6849">
        <w:rPr>
          <w:rFonts w:ascii="Times New Roman" w:hAnsi="Times New Roman"/>
          <w:sz w:val="26"/>
          <w:szCs w:val="26"/>
        </w:rPr>
        <w:t>Материнская смертность в России по итогам 2014 года впервые в истории нашей страны составила 10,8 на 100 тыс. человек, что на 4,4% ниже, чем в 2013 году и на 33,3% ниже, чем в 2011 году (16,2 на 100 тыс.)</w:t>
      </w:r>
      <w:proofErr w:type="gramStart"/>
      <w:r>
        <w:rPr>
          <w:rFonts w:ascii="Times New Roman" w:hAnsi="Times New Roman"/>
          <w:sz w:val="26"/>
          <w:szCs w:val="26"/>
        </w:rPr>
        <w:t>.</w:t>
      </w:r>
      <w:proofErr w:type="gramEnd"/>
      <w:r>
        <w:rPr>
          <w:rFonts w:ascii="Times New Roman" w:hAnsi="Times New Roman"/>
          <w:sz w:val="26"/>
          <w:szCs w:val="26"/>
        </w:rPr>
        <w:t xml:space="preserve"> П</w:t>
      </w:r>
      <w:r w:rsidRPr="004D6849">
        <w:rPr>
          <w:rFonts w:ascii="Times New Roman" w:hAnsi="Times New Roman"/>
          <w:sz w:val="26"/>
          <w:szCs w:val="26"/>
        </w:rPr>
        <w:t xml:space="preserve">о итогам 2014 года показатель младенческой смертности составил 7,4 на 1 000 </w:t>
      </w:r>
      <w:proofErr w:type="gramStart"/>
      <w:r w:rsidRPr="004D6849">
        <w:rPr>
          <w:rFonts w:ascii="Times New Roman" w:hAnsi="Times New Roman"/>
          <w:sz w:val="26"/>
          <w:szCs w:val="26"/>
        </w:rPr>
        <w:t>родившихся</w:t>
      </w:r>
      <w:proofErr w:type="gramEnd"/>
      <w:r w:rsidRPr="004D6849">
        <w:rPr>
          <w:rFonts w:ascii="Times New Roman" w:hAnsi="Times New Roman"/>
          <w:sz w:val="26"/>
          <w:szCs w:val="26"/>
        </w:rPr>
        <w:t xml:space="preserve"> живыми, что поч</w:t>
      </w:r>
      <w:r>
        <w:rPr>
          <w:rFonts w:ascii="Times New Roman" w:hAnsi="Times New Roman"/>
          <w:sz w:val="26"/>
          <w:szCs w:val="26"/>
        </w:rPr>
        <w:t>ти на 10% ниже, чем в 2013 году.</w:t>
      </w:r>
      <w:r w:rsidRPr="004D6849">
        <w:rPr>
          <w:rFonts w:ascii="Times New Roman" w:hAnsi="Times New Roman"/>
          <w:sz w:val="26"/>
          <w:szCs w:val="26"/>
        </w:rPr>
        <w:t xml:space="preserve"> За 5 месяцев этого года уровень младенческой смертности достиг самого низкого в истории страны показателя – 6,7 на 1000 родившихся живыми.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4D6849">
        <w:rPr>
          <w:rFonts w:ascii="Times New Roman" w:hAnsi="Times New Roman"/>
          <w:sz w:val="26"/>
          <w:szCs w:val="26"/>
        </w:rPr>
        <w:t>Во всех субъектах РФ сегодня действуют высокотехнологичные перинатальные центры, в которых любая женщина может получить квалифицированную медицинскую помощь при самых тяжелых заболеваниях.</w:t>
      </w:r>
      <w:r>
        <w:rPr>
          <w:rFonts w:ascii="Times New Roman" w:hAnsi="Times New Roman"/>
          <w:sz w:val="26"/>
          <w:szCs w:val="26"/>
        </w:rPr>
        <w:t xml:space="preserve"> </w:t>
      </w:r>
      <w:r w:rsidR="00E06445">
        <w:rPr>
          <w:rFonts w:ascii="Times New Roman" w:hAnsi="Times New Roman"/>
          <w:sz w:val="26"/>
          <w:szCs w:val="26"/>
        </w:rPr>
        <w:t>Дальнейшее улучшение этих показателей безусловно возможно, однако это потребует таких затрат, которые неприемлемы в условиях дефицита ресурсов</w:t>
      </w:r>
      <w:proofErr w:type="gramStart"/>
      <w:r w:rsidR="00E06445">
        <w:rPr>
          <w:rFonts w:ascii="Times New Roman" w:hAnsi="Times New Roman"/>
          <w:sz w:val="26"/>
          <w:szCs w:val="26"/>
        </w:rPr>
        <w:t>.</w:t>
      </w:r>
      <w:proofErr w:type="gramEnd"/>
      <w:r w:rsidR="00E06445">
        <w:rPr>
          <w:rFonts w:ascii="Times New Roman" w:hAnsi="Times New Roman"/>
          <w:sz w:val="26"/>
          <w:szCs w:val="26"/>
        </w:rPr>
        <w:t xml:space="preserve"> Кроме того, снижение материнской и младенческой смертности само по себе не приведет к улучшению демографической ситуации в стране. Для этого необходимы качественные изменения в системе охраны здоровья в целом, и репродуктивного здоровья в частности.</w:t>
      </w:r>
    </w:p>
    <w:p w:rsidR="004E6E98" w:rsidRPr="00B40AAE" w:rsidRDefault="00C60286" w:rsidP="004D6849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Существует два системных подхода, которые определяют структуру и функционирование систем здравоохранения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Medicina</w:t>
      </w:r>
      <w:proofErr w:type="spellEnd"/>
      <w:r w:rsidRPr="00C6028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curativ</w:t>
      </w:r>
      <w:proofErr w:type="spellEnd"/>
      <w:proofErr w:type="gramStart"/>
      <w:r>
        <w:rPr>
          <w:rFonts w:ascii="Times New Roman" w:hAnsi="Times New Roman"/>
          <w:sz w:val="26"/>
          <w:szCs w:val="26"/>
        </w:rPr>
        <w:t>а</w:t>
      </w:r>
      <w:proofErr w:type="gramEnd"/>
      <w:r w:rsidRPr="00C602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Medicina</w:t>
      </w:r>
      <w:proofErr w:type="spellEnd"/>
      <w:r w:rsidRPr="00C6028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preventiv</w:t>
      </w:r>
      <w:proofErr w:type="spellEnd"/>
      <w:r>
        <w:rPr>
          <w:rFonts w:ascii="Times New Roman" w:hAnsi="Times New Roman"/>
          <w:sz w:val="26"/>
          <w:szCs w:val="26"/>
        </w:rPr>
        <w:t>а</w:t>
      </w:r>
      <w:r w:rsidR="007F7F20">
        <w:rPr>
          <w:rFonts w:ascii="Times New Roman" w:hAnsi="Times New Roman"/>
          <w:sz w:val="26"/>
          <w:szCs w:val="26"/>
        </w:rPr>
        <w:t>.</w:t>
      </w:r>
      <w:r w:rsidR="00DB45CC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Первая направлена на максимально эффективное лечение больных, вторая построена на принципе сохранения здоровья здоровых. Основной принцип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Medicina</w:t>
      </w:r>
      <w:proofErr w:type="spellEnd"/>
      <w:r w:rsidRPr="00C60286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  <w:lang w:val="en-US"/>
        </w:rPr>
        <w:t>preventiva</w:t>
      </w:r>
      <w:proofErr w:type="spellEnd"/>
      <w:r>
        <w:rPr>
          <w:rFonts w:ascii="Times New Roman" w:hAnsi="Times New Roman"/>
          <w:sz w:val="26"/>
          <w:szCs w:val="26"/>
        </w:rPr>
        <w:t xml:space="preserve"> – «не дать заболеть». </w:t>
      </w:r>
      <w:r w:rsidR="00DB45CC">
        <w:rPr>
          <w:rFonts w:ascii="Times New Roman" w:hAnsi="Times New Roman"/>
          <w:sz w:val="26"/>
          <w:szCs w:val="26"/>
        </w:rPr>
        <w:t xml:space="preserve">В странах социальной </w:t>
      </w:r>
      <w:r>
        <w:rPr>
          <w:rFonts w:ascii="Times New Roman" w:hAnsi="Times New Roman"/>
          <w:sz w:val="26"/>
          <w:szCs w:val="26"/>
        </w:rPr>
        <w:t>медицины</w:t>
      </w:r>
      <w:r w:rsidR="00DB45CC">
        <w:rPr>
          <w:rFonts w:ascii="Times New Roman" w:hAnsi="Times New Roman"/>
          <w:sz w:val="26"/>
          <w:szCs w:val="26"/>
        </w:rPr>
        <w:t>, использующих бюджетную модель Семашко</w:t>
      </w:r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DB45CC">
        <w:rPr>
          <w:rFonts w:ascii="Times New Roman" w:hAnsi="Times New Roman"/>
          <w:sz w:val="26"/>
          <w:szCs w:val="26"/>
        </w:rPr>
        <w:t>Бевериджа</w:t>
      </w:r>
      <w:proofErr w:type="spellEnd"/>
      <w:r>
        <w:rPr>
          <w:rFonts w:ascii="Times New Roman" w:hAnsi="Times New Roman"/>
          <w:sz w:val="26"/>
          <w:szCs w:val="26"/>
        </w:rPr>
        <w:t>, Бисмарка),</w:t>
      </w:r>
      <w:r w:rsidR="00DB45CC">
        <w:rPr>
          <w:rFonts w:ascii="Times New Roman" w:hAnsi="Times New Roman"/>
          <w:sz w:val="26"/>
          <w:szCs w:val="26"/>
        </w:rPr>
        <w:t xml:space="preserve"> т.е. неконкурентного, </w:t>
      </w:r>
      <w:proofErr w:type="spellStart"/>
      <w:r w:rsidR="00DB45CC">
        <w:rPr>
          <w:rFonts w:ascii="Times New Roman" w:hAnsi="Times New Roman"/>
          <w:sz w:val="26"/>
          <w:szCs w:val="26"/>
        </w:rPr>
        <w:t>нерискового</w:t>
      </w:r>
      <w:proofErr w:type="spellEnd"/>
      <w:r w:rsidR="00DB45CC">
        <w:rPr>
          <w:rFonts w:ascii="Times New Roman" w:hAnsi="Times New Roman"/>
          <w:sz w:val="26"/>
          <w:szCs w:val="26"/>
        </w:rPr>
        <w:t xml:space="preserve"> и некоммерческого ОМС, здоровье рассматривается не только как личный, но и как общественный актив, и основными инструментами являются обеспечение максимального равенства в доступе к помощи, при безусловном приоритете профилактики и раннего выявления болезней</w:t>
      </w:r>
      <w:r w:rsidR="004E6E98">
        <w:rPr>
          <w:rFonts w:ascii="Times New Roman" w:hAnsi="Times New Roman"/>
          <w:sz w:val="26"/>
          <w:szCs w:val="26"/>
        </w:rPr>
        <w:t xml:space="preserve">, </w:t>
      </w:r>
      <w:proofErr w:type="spellStart"/>
      <w:proofErr w:type="gramStart"/>
      <w:r w:rsidR="004E6E98">
        <w:rPr>
          <w:rFonts w:ascii="Times New Roman" w:hAnsi="Times New Roman"/>
          <w:sz w:val="26"/>
          <w:szCs w:val="26"/>
        </w:rPr>
        <w:t>сан-просвет</w:t>
      </w:r>
      <w:proofErr w:type="spellEnd"/>
      <w:proofErr w:type="gramEnd"/>
      <w:r w:rsidR="004E6E98">
        <w:rPr>
          <w:rFonts w:ascii="Times New Roman" w:hAnsi="Times New Roman"/>
          <w:sz w:val="26"/>
          <w:szCs w:val="26"/>
        </w:rPr>
        <w:t xml:space="preserve"> работы</w:t>
      </w:r>
      <w:r w:rsidR="00DB45CC">
        <w:rPr>
          <w:rFonts w:ascii="Times New Roman" w:hAnsi="Times New Roman"/>
          <w:sz w:val="26"/>
          <w:szCs w:val="26"/>
        </w:rPr>
        <w:t xml:space="preserve">.  </w:t>
      </w:r>
      <w:r w:rsidR="004E6E98">
        <w:rPr>
          <w:rFonts w:ascii="Times New Roman" w:hAnsi="Times New Roman"/>
          <w:sz w:val="26"/>
          <w:szCs w:val="26"/>
        </w:rPr>
        <w:t>Социальная модель - э</w:t>
      </w:r>
      <w:r w:rsidR="004E6E98" w:rsidRPr="00AC54A4">
        <w:rPr>
          <w:rFonts w:ascii="Times New Roman" w:hAnsi="Times New Roman"/>
          <w:sz w:val="26"/>
          <w:szCs w:val="26"/>
        </w:rPr>
        <w:t>то пример профилактической медицины</w:t>
      </w:r>
      <w:r w:rsidR="00B40AAE">
        <w:rPr>
          <w:rFonts w:ascii="Times New Roman" w:hAnsi="Times New Roman"/>
          <w:sz w:val="26"/>
          <w:szCs w:val="26"/>
        </w:rPr>
        <w:t>, направленной на создание</w:t>
      </w:r>
      <w:r w:rsidR="004E6E98" w:rsidRPr="00AC54A4">
        <w:rPr>
          <w:rFonts w:ascii="Times New Roman" w:hAnsi="Times New Roman"/>
          <w:sz w:val="26"/>
          <w:szCs w:val="26"/>
        </w:rPr>
        <w:t xml:space="preserve"> </w:t>
      </w:r>
      <w:r w:rsidR="00B40AAE">
        <w:rPr>
          <w:rFonts w:ascii="Times New Roman" w:hAnsi="Times New Roman"/>
          <w:sz w:val="26"/>
          <w:szCs w:val="26"/>
        </w:rPr>
        <w:t>с</w:t>
      </w:r>
      <w:r w:rsidR="00B40AAE" w:rsidRPr="00B40AAE">
        <w:rPr>
          <w:rFonts w:ascii="Times New Roman" w:hAnsi="Times New Roman"/>
          <w:bCs/>
          <w:sz w:val="26"/>
          <w:szCs w:val="26"/>
        </w:rPr>
        <w:t>оциальн</w:t>
      </w:r>
      <w:r w:rsidR="00B40AAE">
        <w:rPr>
          <w:rFonts w:ascii="Times New Roman" w:hAnsi="Times New Roman"/>
          <w:bCs/>
          <w:sz w:val="26"/>
          <w:szCs w:val="26"/>
        </w:rPr>
        <w:t>ого</w:t>
      </w:r>
      <w:r w:rsidR="00B40AAE" w:rsidRPr="00B40AAE">
        <w:rPr>
          <w:rFonts w:ascii="Times New Roman" w:hAnsi="Times New Roman"/>
          <w:bCs/>
          <w:sz w:val="26"/>
          <w:szCs w:val="26"/>
        </w:rPr>
        <w:t xml:space="preserve"> мир</w:t>
      </w:r>
      <w:r w:rsidR="00B40AAE">
        <w:rPr>
          <w:rFonts w:ascii="Times New Roman" w:hAnsi="Times New Roman"/>
          <w:bCs/>
          <w:sz w:val="26"/>
          <w:szCs w:val="26"/>
        </w:rPr>
        <w:t>а</w:t>
      </w:r>
      <w:r w:rsidR="00B40AAE" w:rsidRPr="00B40AAE">
        <w:rPr>
          <w:rFonts w:ascii="Times New Roman" w:hAnsi="Times New Roman"/>
          <w:bCs/>
          <w:sz w:val="26"/>
          <w:szCs w:val="26"/>
        </w:rPr>
        <w:t>, уд</w:t>
      </w:r>
      <w:r w:rsidR="00B40AAE">
        <w:rPr>
          <w:rFonts w:ascii="Times New Roman" w:hAnsi="Times New Roman"/>
          <w:bCs/>
          <w:sz w:val="26"/>
          <w:szCs w:val="26"/>
        </w:rPr>
        <w:t>овлетворение населения действия</w:t>
      </w:r>
      <w:r w:rsidR="00B40AAE" w:rsidRPr="00B40AAE">
        <w:rPr>
          <w:rFonts w:ascii="Times New Roman" w:hAnsi="Times New Roman"/>
          <w:bCs/>
          <w:sz w:val="26"/>
          <w:szCs w:val="26"/>
        </w:rPr>
        <w:t>ми власти.</w:t>
      </w:r>
    </w:p>
    <w:p w:rsidR="00A15B37" w:rsidRPr="00AC54A4" w:rsidRDefault="00A15B37" w:rsidP="009913E4">
      <w:pPr>
        <w:ind w:firstLine="708"/>
        <w:jc w:val="both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 xml:space="preserve">Важно отметить, что мировой тренд развития социальной модели - эволюция социального страхования в сторону бюджетной модели, поскольку модель Бисмарка является нерыночной системой, </w:t>
      </w:r>
      <w:r w:rsidR="004E6E98">
        <w:rPr>
          <w:rFonts w:ascii="Times New Roman" w:hAnsi="Times New Roman"/>
          <w:sz w:val="26"/>
          <w:szCs w:val="26"/>
        </w:rPr>
        <w:t xml:space="preserve">её страховщики - по сути, некоммерческие кассы взаимопомощи, </w:t>
      </w:r>
      <w:r>
        <w:rPr>
          <w:rFonts w:ascii="Times New Roman" w:hAnsi="Times New Roman"/>
          <w:sz w:val="26"/>
          <w:szCs w:val="26"/>
        </w:rPr>
        <w:t>а её принцип - солидарные взносы работников и работодателей - не справляются с ростом чис</w:t>
      </w:r>
      <w:r w:rsidR="0013272A">
        <w:rPr>
          <w:rFonts w:ascii="Times New Roman" w:hAnsi="Times New Roman"/>
          <w:sz w:val="26"/>
          <w:szCs w:val="26"/>
        </w:rPr>
        <w:t xml:space="preserve">ла нетрудоспособного </w:t>
      </w:r>
      <w:r w:rsidR="0013272A">
        <w:rPr>
          <w:rFonts w:ascii="Times New Roman" w:hAnsi="Times New Roman"/>
          <w:sz w:val="26"/>
          <w:szCs w:val="26"/>
        </w:rPr>
        <w:lastRenderedPageBreak/>
        <w:t xml:space="preserve">населения, </w:t>
      </w:r>
      <w:r w:rsidR="0013272A" w:rsidRPr="0013272A">
        <w:rPr>
          <w:rFonts w:ascii="Times New Roman" w:hAnsi="Times New Roman"/>
          <w:sz w:val="26"/>
          <w:szCs w:val="26"/>
        </w:rPr>
        <w:t>для оказания помощи которому быстро растет доля налогового (бюджетного) финансирования.</w:t>
      </w:r>
      <w:proofErr w:type="gramEnd"/>
    </w:p>
    <w:p w:rsidR="00F0316D" w:rsidRDefault="00A15B37" w:rsidP="00B40A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Наиболее типичный пример рыночной модели</w:t>
      </w:r>
      <w:r w:rsidR="00B40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0AAE">
        <w:rPr>
          <w:rFonts w:ascii="Times New Roman" w:hAnsi="Times New Roman"/>
          <w:sz w:val="26"/>
          <w:szCs w:val="26"/>
          <w:lang w:val="en-US"/>
        </w:rPr>
        <w:t>Medicina</w:t>
      </w:r>
      <w:proofErr w:type="spellEnd"/>
      <w:r w:rsidR="00B40AAE" w:rsidRPr="00B40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B40AAE">
        <w:rPr>
          <w:rFonts w:ascii="Times New Roman" w:hAnsi="Times New Roman"/>
          <w:sz w:val="26"/>
          <w:szCs w:val="26"/>
          <w:lang w:val="en-US"/>
        </w:rPr>
        <w:t>curativa</w:t>
      </w:r>
      <w:proofErr w:type="spellEnd"/>
      <w:r>
        <w:rPr>
          <w:rFonts w:ascii="Times New Roman" w:hAnsi="Times New Roman"/>
          <w:sz w:val="26"/>
          <w:szCs w:val="26"/>
        </w:rPr>
        <w:t xml:space="preserve"> </w:t>
      </w:r>
      <w:r w:rsidR="00B40AAE" w:rsidRPr="00B40AAE">
        <w:rPr>
          <w:rFonts w:ascii="Times New Roman" w:hAnsi="Times New Roman"/>
          <w:sz w:val="26"/>
          <w:szCs w:val="26"/>
        </w:rPr>
        <w:t xml:space="preserve"> - </w:t>
      </w:r>
      <w:r>
        <w:rPr>
          <w:rFonts w:ascii="Times New Roman" w:hAnsi="Times New Roman"/>
          <w:sz w:val="26"/>
          <w:szCs w:val="26"/>
        </w:rPr>
        <w:t>здравоохранение США</w:t>
      </w:r>
      <w:r w:rsidR="00B40AAE">
        <w:rPr>
          <w:rFonts w:ascii="Times New Roman" w:hAnsi="Times New Roman"/>
          <w:sz w:val="26"/>
          <w:szCs w:val="26"/>
        </w:rPr>
        <w:t>, с</w:t>
      </w:r>
      <w:r>
        <w:rPr>
          <w:rFonts w:ascii="Times New Roman" w:hAnsi="Times New Roman"/>
          <w:sz w:val="26"/>
          <w:szCs w:val="26"/>
        </w:rPr>
        <w:t xml:space="preserve">траны с </w:t>
      </w:r>
      <w:r w:rsidR="004E6E98">
        <w:rPr>
          <w:rFonts w:ascii="Times New Roman" w:hAnsi="Times New Roman"/>
          <w:sz w:val="26"/>
          <w:szCs w:val="26"/>
        </w:rPr>
        <w:t xml:space="preserve">традиционно </w:t>
      </w:r>
      <w:r>
        <w:rPr>
          <w:rFonts w:ascii="Times New Roman" w:hAnsi="Times New Roman"/>
          <w:sz w:val="26"/>
          <w:szCs w:val="26"/>
        </w:rPr>
        <w:t xml:space="preserve">очень </w:t>
      </w:r>
      <w:r w:rsidR="004E6E98">
        <w:rPr>
          <w:rFonts w:ascii="Times New Roman" w:hAnsi="Times New Roman"/>
          <w:sz w:val="26"/>
          <w:szCs w:val="26"/>
        </w:rPr>
        <w:t xml:space="preserve">развитым коммерческим </w:t>
      </w:r>
      <w:r>
        <w:rPr>
          <w:rFonts w:ascii="Times New Roman" w:hAnsi="Times New Roman"/>
          <w:sz w:val="26"/>
          <w:szCs w:val="26"/>
        </w:rPr>
        <w:t>страховани</w:t>
      </w:r>
      <w:r w:rsidR="004E6E98">
        <w:rPr>
          <w:rFonts w:ascii="Times New Roman" w:hAnsi="Times New Roman"/>
          <w:sz w:val="26"/>
          <w:szCs w:val="26"/>
        </w:rPr>
        <w:t>ем</w:t>
      </w:r>
      <w:r>
        <w:rPr>
          <w:rFonts w:ascii="Times New Roman" w:hAnsi="Times New Roman"/>
          <w:sz w:val="26"/>
          <w:szCs w:val="26"/>
        </w:rPr>
        <w:t xml:space="preserve">. </w:t>
      </w:r>
      <w:r w:rsidR="007F7F20">
        <w:rPr>
          <w:rFonts w:ascii="Times New Roman" w:hAnsi="Times New Roman"/>
          <w:sz w:val="26"/>
          <w:szCs w:val="26"/>
        </w:rPr>
        <w:t xml:space="preserve">В рамках рыночной модели здоровье - личное дело каждого человека, который обязан сам управлять своим здоровьем как потребитель рынка медицинских услуг - приобретая их напрямую или с помощью страхового посредника, в рамках т.н. конкурентной рисковой модели с участием коммерческих страховщиков - заметим, именно </w:t>
      </w:r>
      <w:r w:rsidR="0013272A">
        <w:rPr>
          <w:rFonts w:ascii="Times New Roman" w:hAnsi="Times New Roman"/>
          <w:sz w:val="26"/>
          <w:szCs w:val="26"/>
        </w:rPr>
        <w:t>эту модель</w:t>
      </w:r>
      <w:r w:rsidR="007F7F20">
        <w:rPr>
          <w:rFonts w:ascii="Times New Roman" w:hAnsi="Times New Roman"/>
          <w:sz w:val="26"/>
          <w:szCs w:val="26"/>
        </w:rPr>
        <w:t xml:space="preserve"> рекомендуют России авторы "Стратегии-2020". Ключевая задача участников рынка - извлечение прибыли,</w:t>
      </w:r>
      <w:r w:rsidR="0022561E" w:rsidRPr="0022561E">
        <w:rPr>
          <w:rFonts w:ascii="Times New Roman" w:hAnsi="Times New Roman"/>
          <w:sz w:val="26"/>
          <w:szCs w:val="26"/>
        </w:rPr>
        <w:t xml:space="preserve"> </w:t>
      </w:r>
      <w:r w:rsidR="0022561E">
        <w:rPr>
          <w:rFonts w:ascii="Times New Roman" w:hAnsi="Times New Roman"/>
          <w:sz w:val="26"/>
          <w:szCs w:val="26"/>
        </w:rPr>
        <w:t xml:space="preserve">которая максимальна при высокотехнологичном лечении запущенных  и зачастую безнадежных больных - т.н. «снятие сливок», </w:t>
      </w:r>
      <w:r w:rsidR="007F7F20">
        <w:rPr>
          <w:rFonts w:ascii="Times New Roman" w:hAnsi="Times New Roman"/>
          <w:sz w:val="26"/>
          <w:szCs w:val="26"/>
        </w:rPr>
        <w:t xml:space="preserve"> </w:t>
      </w:r>
      <w:r w:rsidR="00A063D8">
        <w:rPr>
          <w:rFonts w:ascii="Times New Roman" w:hAnsi="Times New Roman"/>
          <w:sz w:val="26"/>
          <w:szCs w:val="26"/>
        </w:rPr>
        <w:t>а не достижение социального мира</w:t>
      </w:r>
      <w:r w:rsidR="0022561E">
        <w:rPr>
          <w:rFonts w:ascii="Times New Roman" w:hAnsi="Times New Roman"/>
          <w:sz w:val="26"/>
          <w:szCs w:val="26"/>
        </w:rPr>
        <w:t>.</w:t>
      </w:r>
      <w:r w:rsidR="00A063D8">
        <w:rPr>
          <w:rFonts w:ascii="Times New Roman" w:hAnsi="Times New Roman"/>
          <w:sz w:val="26"/>
          <w:szCs w:val="26"/>
        </w:rPr>
        <w:t xml:space="preserve"> </w:t>
      </w:r>
      <w:r w:rsidR="0022561E" w:rsidRPr="0022561E">
        <w:rPr>
          <w:rFonts w:ascii="Times New Roman" w:hAnsi="Times New Roman"/>
          <w:sz w:val="26"/>
          <w:szCs w:val="26"/>
        </w:rPr>
        <w:t>Э</w:t>
      </w:r>
      <w:r w:rsidR="00A063D8" w:rsidRPr="0022561E">
        <w:rPr>
          <w:rFonts w:ascii="Times New Roman" w:hAnsi="Times New Roman"/>
          <w:sz w:val="26"/>
          <w:szCs w:val="26"/>
        </w:rPr>
        <w:t>то противоречит принцип</w:t>
      </w:r>
      <w:r w:rsidR="0022561E" w:rsidRPr="0022561E">
        <w:rPr>
          <w:rFonts w:ascii="Times New Roman" w:hAnsi="Times New Roman"/>
          <w:sz w:val="26"/>
          <w:szCs w:val="26"/>
        </w:rPr>
        <w:t>ам</w:t>
      </w:r>
      <w:r w:rsidR="00A063D8" w:rsidRPr="0022561E">
        <w:rPr>
          <w:rFonts w:ascii="Times New Roman" w:hAnsi="Times New Roman"/>
          <w:sz w:val="26"/>
          <w:szCs w:val="26"/>
        </w:rPr>
        <w:t xml:space="preserve"> равенства </w:t>
      </w:r>
      <w:r w:rsidR="0022561E" w:rsidRPr="0022561E">
        <w:rPr>
          <w:rFonts w:ascii="Times New Roman" w:hAnsi="Times New Roman"/>
          <w:sz w:val="26"/>
          <w:szCs w:val="26"/>
        </w:rPr>
        <w:t>и</w:t>
      </w:r>
      <w:r w:rsidR="00A063D8" w:rsidRPr="0022561E">
        <w:rPr>
          <w:rFonts w:ascii="Times New Roman" w:hAnsi="Times New Roman"/>
          <w:sz w:val="26"/>
          <w:szCs w:val="26"/>
        </w:rPr>
        <w:t xml:space="preserve"> социальной </w:t>
      </w:r>
      <w:r w:rsidR="0022561E" w:rsidRPr="0022561E">
        <w:rPr>
          <w:rFonts w:ascii="Times New Roman" w:hAnsi="Times New Roman"/>
          <w:sz w:val="26"/>
          <w:szCs w:val="26"/>
        </w:rPr>
        <w:t>солидарности (</w:t>
      </w:r>
      <w:r w:rsidR="00A063D8" w:rsidRPr="0022561E">
        <w:rPr>
          <w:rFonts w:ascii="Times New Roman" w:hAnsi="Times New Roman"/>
          <w:sz w:val="26"/>
          <w:szCs w:val="26"/>
        </w:rPr>
        <w:t>здоров</w:t>
      </w:r>
      <w:r w:rsidR="0022561E" w:rsidRPr="0022561E">
        <w:rPr>
          <w:rFonts w:ascii="Times New Roman" w:hAnsi="Times New Roman"/>
          <w:sz w:val="26"/>
          <w:szCs w:val="26"/>
        </w:rPr>
        <w:t>ы</w:t>
      </w:r>
      <w:r w:rsidR="00A063D8" w:rsidRPr="0022561E">
        <w:rPr>
          <w:rFonts w:ascii="Times New Roman" w:hAnsi="Times New Roman"/>
          <w:sz w:val="26"/>
          <w:szCs w:val="26"/>
        </w:rPr>
        <w:t>й платит за больного, а богатый за бе</w:t>
      </w:r>
      <w:r w:rsidR="0022561E" w:rsidRPr="0022561E">
        <w:rPr>
          <w:rFonts w:ascii="Times New Roman" w:hAnsi="Times New Roman"/>
          <w:sz w:val="26"/>
          <w:szCs w:val="26"/>
        </w:rPr>
        <w:t>д</w:t>
      </w:r>
      <w:r w:rsidR="00A063D8" w:rsidRPr="0022561E">
        <w:rPr>
          <w:rFonts w:ascii="Times New Roman" w:hAnsi="Times New Roman"/>
          <w:sz w:val="26"/>
          <w:szCs w:val="26"/>
        </w:rPr>
        <w:t>ного)</w:t>
      </w:r>
      <w:r w:rsidR="0022561E">
        <w:rPr>
          <w:rFonts w:ascii="Times New Roman" w:hAnsi="Times New Roman"/>
          <w:sz w:val="26"/>
          <w:szCs w:val="26"/>
        </w:rPr>
        <w:t>. В такой системе п</w:t>
      </w:r>
      <w:r w:rsidR="007A3AD0">
        <w:rPr>
          <w:rFonts w:ascii="Times New Roman" w:hAnsi="Times New Roman"/>
          <w:sz w:val="26"/>
          <w:szCs w:val="26"/>
        </w:rPr>
        <w:t xml:space="preserve">рофилактика и раннее выявление заболеваний, оздоровление экономически малоинтересны, т.е. суть модели - бизнес на болезнях. </w:t>
      </w:r>
      <w:proofErr w:type="gramStart"/>
      <w:r w:rsidR="007A3AD0">
        <w:rPr>
          <w:rFonts w:ascii="Times New Roman" w:hAnsi="Times New Roman"/>
          <w:sz w:val="26"/>
          <w:szCs w:val="26"/>
        </w:rPr>
        <w:t xml:space="preserve">В этих условиях, поскольку население не способно само определять свои реальные потребности в медицинской помощи,  а здоровье - неисчерпаемый источник потребностей в </w:t>
      </w:r>
      <w:proofErr w:type="spellStart"/>
      <w:r w:rsidR="007A3AD0">
        <w:rPr>
          <w:rFonts w:ascii="Times New Roman" w:hAnsi="Times New Roman"/>
          <w:sz w:val="26"/>
          <w:szCs w:val="26"/>
        </w:rPr>
        <w:t>медуслугах</w:t>
      </w:r>
      <w:proofErr w:type="spellEnd"/>
      <w:r w:rsidR="007A3AD0">
        <w:rPr>
          <w:rFonts w:ascii="Times New Roman" w:hAnsi="Times New Roman"/>
          <w:sz w:val="26"/>
          <w:szCs w:val="26"/>
        </w:rPr>
        <w:t>, расходы при этой модели опережают управляемые показатели здоровья населения</w:t>
      </w:r>
      <w:r w:rsidR="00DB45CC">
        <w:rPr>
          <w:rFonts w:ascii="Times New Roman" w:hAnsi="Times New Roman"/>
          <w:sz w:val="26"/>
          <w:szCs w:val="26"/>
        </w:rPr>
        <w:t>, а доступность помощи напрямую зависит от доходов, статуса и места проживания человека - в тех же США доступность помощи в сельских районах большая проблема</w:t>
      </w:r>
      <w:r w:rsidR="004E6E98">
        <w:rPr>
          <w:rFonts w:ascii="Times New Roman" w:hAnsi="Times New Roman"/>
          <w:sz w:val="26"/>
          <w:szCs w:val="26"/>
        </w:rPr>
        <w:t>, поскольку инвестиции с медицинскую инфраструктуру малонаселенных</w:t>
      </w:r>
      <w:proofErr w:type="gramEnd"/>
      <w:r w:rsidR="004E6E98">
        <w:rPr>
          <w:rFonts w:ascii="Times New Roman" w:hAnsi="Times New Roman"/>
          <w:sz w:val="26"/>
          <w:szCs w:val="26"/>
        </w:rPr>
        <w:t xml:space="preserve"> территорий </w:t>
      </w:r>
      <w:proofErr w:type="gramStart"/>
      <w:r w:rsidR="004E6E98">
        <w:rPr>
          <w:rFonts w:ascii="Times New Roman" w:hAnsi="Times New Roman"/>
          <w:sz w:val="26"/>
          <w:szCs w:val="26"/>
        </w:rPr>
        <w:t>невыгодны</w:t>
      </w:r>
      <w:proofErr w:type="gramEnd"/>
      <w:r w:rsidR="004E6E98">
        <w:rPr>
          <w:rFonts w:ascii="Times New Roman" w:hAnsi="Times New Roman"/>
          <w:sz w:val="26"/>
          <w:szCs w:val="26"/>
        </w:rPr>
        <w:t>.</w:t>
      </w:r>
      <w:r w:rsidR="007A3AD0">
        <w:rPr>
          <w:rFonts w:ascii="Times New Roman" w:hAnsi="Times New Roman"/>
          <w:sz w:val="26"/>
          <w:szCs w:val="26"/>
        </w:rPr>
        <w:t xml:space="preserve"> </w:t>
      </w:r>
    </w:p>
    <w:p w:rsidR="00874EDA" w:rsidRDefault="00A063D8" w:rsidP="00874ED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Эволюция системы здравоохранения в сторону бюджетной требует </w:t>
      </w:r>
      <w:r>
        <w:rPr>
          <w:rFonts w:ascii="Times New Roman" w:hAnsi="Times New Roman"/>
          <w:bCs/>
          <w:sz w:val="26"/>
          <w:szCs w:val="26"/>
        </w:rPr>
        <w:t>изменения всей</w:t>
      </w:r>
      <w:r w:rsidRPr="00AC54A4">
        <w:rPr>
          <w:rFonts w:ascii="Times New Roman" w:hAnsi="Times New Roman"/>
          <w:bCs/>
          <w:sz w:val="26"/>
          <w:szCs w:val="26"/>
        </w:rPr>
        <w:t xml:space="preserve"> парадигм</w:t>
      </w:r>
      <w:r>
        <w:rPr>
          <w:rFonts w:ascii="Times New Roman" w:hAnsi="Times New Roman"/>
          <w:bCs/>
          <w:sz w:val="26"/>
          <w:szCs w:val="26"/>
        </w:rPr>
        <w:t>ы</w:t>
      </w:r>
      <w:r w:rsidRPr="00AC54A4">
        <w:rPr>
          <w:rFonts w:ascii="Times New Roman" w:hAnsi="Times New Roman"/>
          <w:b/>
          <w:bCs/>
          <w:sz w:val="26"/>
          <w:szCs w:val="26"/>
        </w:rPr>
        <w:t xml:space="preserve">. </w:t>
      </w:r>
      <w:r w:rsidRPr="008D4740">
        <w:rPr>
          <w:rFonts w:ascii="Times New Roman" w:hAnsi="Times New Roman"/>
          <w:bCs/>
          <w:sz w:val="26"/>
          <w:szCs w:val="26"/>
        </w:rPr>
        <w:t>Приоритет</w:t>
      </w:r>
      <w:r>
        <w:rPr>
          <w:rFonts w:ascii="Times New Roman" w:hAnsi="Times New Roman"/>
          <w:bCs/>
          <w:sz w:val="26"/>
          <w:szCs w:val="26"/>
        </w:rPr>
        <w:t>ом</w:t>
      </w:r>
      <w:r w:rsidRPr="008D4740">
        <w:rPr>
          <w:rFonts w:ascii="Times New Roman" w:hAnsi="Times New Roman"/>
          <w:bCs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действий должно быть финансирование </w:t>
      </w:r>
      <w:r w:rsidRPr="008D4740">
        <w:rPr>
          <w:rFonts w:ascii="Times New Roman" w:hAnsi="Times New Roman"/>
          <w:bCs/>
          <w:sz w:val="26"/>
          <w:szCs w:val="26"/>
        </w:rPr>
        <w:t>первичн</w:t>
      </w:r>
      <w:r>
        <w:rPr>
          <w:rFonts w:ascii="Times New Roman" w:hAnsi="Times New Roman"/>
          <w:bCs/>
          <w:sz w:val="26"/>
          <w:szCs w:val="26"/>
        </w:rPr>
        <w:t>ой</w:t>
      </w:r>
      <w:r w:rsidRPr="008D4740">
        <w:rPr>
          <w:rFonts w:ascii="Times New Roman" w:hAnsi="Times New Roman"/>
          <w:bCs/>
          <w:sz w:val="26"/>
          <w:szCs w:val="26"/>
        </w:rPr>
        <w:t xml:space="preserve"> медико-санитарн</w:t>
      </w:r>
      <w:r>
        <w:rPr>
          <w:rFonts w:ascii="Times New Roman" w:hAnsi="Times New Roman"/>
          <w:bCs/>
          <w:sz w:val="26"/>
          <w:szCs w:val="26"/>
        </w:rPr>
        <w:t>ой помощи,</w:t>
      </w:r>
      <w:r w:rsidRPr="008D4740">
        <w:rPr>
          <w:rFonts w:ascii="Times New Roman" w:hAnsi="Times New Roman"/>
          <w:bCs/>
          <w:sz w:val="26"/>
          <w:szCs w:val="26"/>
        </w:rPr>
        <w:t xml:space="preserve"> обращений</w:t>
      </w:r>
      <w:r>
        <w:rPr>
          <w:rFonts w:ascii="Times New Roman" w:hAnsi="Times New Roman"/>
          <w:bCs/>
          <w:sz w:val="26"/>
          <w:szCs w:val="26"/>
        </w:rPr>
        <w:t xml:space="preserve"> с профилактической целью, а не обращени</w:t>
      </w:r>
      <w:r w:rsidR="00874EDA">
        <w:rPr>
          <w:rFonts w:ascii="Times New Roman" w:hAnsi="Times New Roman"/>
          <w:bCs/>
          <w:sz w:val="26"/>
          <w:szCs w:val="26"/>
        </w:rPr>
        <w:t>й</w:t>
      </w:r>
      <w:r>
        <w:rPr>
          <w:rFonts w:ascii="Times New Roman" w:hAnsi="Times New Roman"/>
          <w:bCs/>
          <w:sz w:val="26"/>
          <w:szCs w:val="26"/>
        </w:rPr>
        <w:t xml:space="preserve"> </w:t>
      </w:r>
      <w:r w:rsidRPr="008D4740">
        <w:rPr>
          <w:rFonts w:ascii="Times New Roman" w:hAnsi="Times New Roman"/>
          <w:bCs/>
          <w:sz w:val="26"/>
          <w:szCs w:val="26"/>
        </w:rPr>
        <w:t>за помощью в случае нарушения здоровья</w:t>
      </w:r>
      <w:r>
        <w:rPr>
          <w:rFonts w:ascii="Times New Roman" w:hAnsi="Times New Roman"/>
          <w:b/>
          <w:bCs/>
          <w:sz w:val="26"/>
          <w:szCs w:val="26"/>
        </w:rPr>
        <w:t>.</w:t>
      </w:r>
      <w:r w:rsidR="00874ED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874EDA">
        <w:rPr>
          <w:rFonts w:ascii="Times New Roman" w:hAnsi="Times New Roman"/>
          <w:sz w:val="26"/>
          <w:szCs w:val="26"/>
        </w:rPr>
        <w:t xml:space="preserve">Экономическая заинтересованность ЛПУ в максимальном числе пациентов приводит к формированию </w:t>
      </w:r>
      <w:r w:rsidR="00874EDA" w:rsidRPr="00AC54A4">
        <w:rPr>
          <w:rFonts w:ascii="Times New Roman" w:hAnsi="Times New Roman"/>
          <w:sz w:val="26"/>
          <w:szCs w:val="26"/>
        </w:rPr>
        <w:t>систем</w:t>
      </w:r>
      <w:r w:rsidR="00874EDA">
        <w:rPr>
          <w:rFonts w:ascii="Times New Roman" w:hAnsi="Times New Roman"/>
          <w:sz w:val="26"/>
          <w:szCs w:val="26"/>
        </w:rPr>
        <w:t xml:space="preserve">ы, </w:t>
      </w:r>
      <w:r w:rsidR="00874EDA" w:rsidRPr="00AC54A4">
        <w:rPr>
          <w:rFonts w:ascii="Times New Roman" w:hAnsi="Times New Roman"/>
          <w:sz w:val="26"/>
          <w:szCs w:val="26"/>
        </w:rPr>
        <w:t>основа</w:t>
      </w:r>
      <w:r w:rsidR="00874EDA">
        <w:rPr>
          <w:rFonts w:ascii="Times New Roman" w:hAnsi="Times New Roman"/>
          <w:sz w:val="26"/>
          <w:szCs w:val="26"/>
        </w:rPr>
        <w:t>н</w:t>
      </w:r>
      <w:r w:rsidR="00874EDA" w:rsidRPr="00AC54A4">
        <w:rPr>
          <w:rFonts w:ascii="Times New Roman" w:hAnsi="Times New Roman"/>
          <w:sz w:val="26"/>
          <w:szCs w:val="26"/>
        </w:rPr>
        <w:t>н</w:t>
      </w:r>
      <w:r w:rsidR="00874EDA">
        <w:rPr>
          <w:rFonts w:ascii="Times New Roman" w:hAnsi="Times New Roman"/>
          <w:sz w:val="26"/>
          <w:szCs w:val="26"/>
        </w:rPr>
        <w:t>ой</w:t>
      </w:r>
      <w:r w:rsidR="00874EDA" w:rsidRPr="00AC54A4">
        <w:rPr>
          <w:rFonts w:ascii="Times New Roman" w:hAnsi="Times New Roman"/>
          <w:sz w:val="26"/>
          <w:szCs w:val="26"/>
        </w:rPr>
        <w:t xml:space="preserve"> на пассивной обращаемости. </w:t>
      </w:r>
      <w:r w:rsidR="00874EDA">
        <w:rPr>
          <w:rFonts w:ascii="Times New Roman" w:hAnsi="Times New Roman"/>
          <w:sz w:val="26"/>
          <w:szCs w:val="26"/>
        </w:rPr>
        <w:t>При этом</w:t>
      </w:r>
      <w:r w:rsidR="00874EDA" w:rsidRPr="00AC54A4">
        <w:rPr>
          <w:rFonts w:ascii="Times New Roman" w:hAnsi="Times New Roman"/>
          <w:sz w:val="26"/>
          <w:szCs w:val="26"/>
        </w:rPr>
        <w:t xml:space="preserve"> финансирование идет вслед за заболевшим пациентом.</w:t>
      </w:r>
      <w:r w:rsidR="00874EDA">
        <w:rPr>
          <w:rFonts w:ascii="Times New Roman" w:hAnsi="Times New Roman"/>
          <w:sz w:val="26"/>
          <w:szCs w:val="26"/>
        </w:rPr>
        <w:t xml:space="preserve"> </w:t>
      </w:r>
      <w:r w:rsidR="00874EDA" w:rsidRPr="00AC54A4">
        <w:rPr>
          <w:rFonts w:ascii="Times New Roman" w:hAnsi="Times New Roman"/>
          <w:sz w:val="26"/>
          <w:szCs w:val="26"/>
        </w:rPr>
        <w:t>Врач</w:t>
      </w:r>
      <w:r w:rsidR="00874EDA">
        <w:rPr>
          <w:rFonts w:ascii="Times New Roman" w:hAnsi="Times New Roman"/>
          <w:sz w:val="26"/>
          <w:szCs w:val="26"/>
        </w:rPr>
        <w:t>, не заинтересованный  здоровье своих пациентов</w:t>
      </w:r>
      <w:r w:rsidR="00874EDA" w:rsidRPr="00AC54A4">
        <w:rPr>
          <w:rFonts w:ascii="Times New Roman" w:hAnsi="Times New Roman"/>
          <w:sz w:val="26"/>
          <w:szCs w:val="26"/>
        </w:rPr>
        <w:t xml:space="preserve"> фактически является диспетчером, </w:t>
      </w:r>
      <w:proofErr w:type="spellStart"/>
      <w:r w:rsidR="00874EDA" w:rsidRPr="00AC54A4">
        <w:rPr>
          <w:rFonts w:ascii="Times New Roman" w:hAnsi="Times New Roman"/>
          <w:sz w:val="26"/>
          <w:szCs w:val="26"/>
        </w:rPr>
        <w:t>перенаправляющим</w:t>
      </w:r>
      <w:proofErr w:type="spellEnd"/>
      <w:r w:rsidR="00874EDA" w:rsidRPr="00AC54A4">
        <w:rPr>
          <w:rFonts w:ascii="Times New Roman" w:hAnsi="Times New Roman"/>
          <w:sz w:val="26"/>
          <w:szCs w:val="26"/>
        </w:rPr>
        <w:t xml:space="preserve"> всех поступивших к нему пациентов на следующий уровень оказания медицинской помощи. </w:t>
      </w:r>
    </w:p>
    <w:p w:rsidR="00874EDA" w:rsidRPr="00AC54A4" w:rsidRDefault="00874EDA" w:rsidP="00874EDA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Благодаря «эффекту рычага» 1 рубль, вложенный в профилактику, оказывает такой же эффект на здоровье общества, как 40 рублей вложенных в высокотехнологичную медицинскую помощь.</w:t>
      </w:r>
    </w:p>
    <w:p w:rsidR="00B40AAE" w:rsidRDefault="00B40AAE" w:rsidP="00B40AAE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Для наглядности мы хотим через узкий срез охраны репродуктивного здоровья показать различия в системах </w:t>
      </w:r>
      <w:proofErr w:type="spellStart"/>
      <w:r w:rsidRPr="00B40AAE">
        <w:rPr>
          <w:rFonts w:ascii="Times New Roman" w:hAnsi="Times New Roman"/>
          <w:sz w:val="26"/>
          <w:szCs w:val="26"/>
        </w:rPr>
        <w:t>Medicina</w:t>
      </w:r>
      <w:proofErr w:type="spellEnd"/>
      <w:r w:rsidRPr="00B40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0AAE">
        <w:rPr>
          <w:rFonts w:ascii="Times New Roman" w:hAnsi="Times New Roman"/>
          <w:sz w:val="26"/>
          <w:szCs w:val="26"/>
        </w:rPr>
        <w:t>curativ</w:t>
      </w:r>
      <w:proofErr w:type="gramStart"/>
      <w:r w:rsidRPr="00B40AAE">
        <w:rPr>
          <w:rFonts w:ascii="Times New Roman" w:hAnsi="Times New Roman"/>
          <w:sz w:val="26"/>
          <w:szCs w:val="26"/>
        </w:rPr>
        <w:t>а</w:t>
      </w:r>
      <w:proofErr w:type="spellEnd"/>
      <w:proofErr w:type="gramEnd"/>
      <w:r w:rsidRPr="00B40AAE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40AAE">
        <w:rPr>
          <w:rFonts w:ascii="Times New Roman" w:hAnsi="Times New Roman"/>
          <w:sz w:val="26"/>
          <w:szCs w:val="26"/>
        </w:rPr>
        <w:t>Medicina</w:t>
      </w:r>
      <w:proofErr w:type="spellEnd"/>
      <w:r w:rsidRPr="00B40AA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0AAE">
        <w:rPr>
          <w:rFonts w:ascii="Times New Roman" w:hAnsi="Times New Roman"/>
          <w:sz w:val="26"/>
          <w:szCs w:val="26"/>
        </w:rPr>
        <w:t>preventivа</w:t>
      </w:r>
      <w:proofErr w:type="spellEnd"/>
      <w:r>
        <w:rPr>
          <w:rFonts w:ascii="Times New Roman" w:hAnsi="Times New Roman"/>
          <w:sz w:val="26"/>
          <w:szCs w:val="26"/>
        </w:rPr>
        <w:t xml:space="preserve">. Важно понимать, что не бывает идеального королевства в неидеальном </w:t>
      </w:r>
      <w:r>
        <w:rPr>
          <w:rFonts w:ascii="Times New Roman" w:hAnsi="Times New Roman"/>
          <w:sz w:val="26"/>
          <w:szCs w:val="26"/>
        </w:rPr>
        <w:lastRenderedPageBreak/>
        <w:t>государстве. Поэтому любая</w:t>
      </w:r>
      <w:r w:rsidR="004E68BA">
        <w:rPr>
          <w:rFonts w:ascii="Times New Roman" w:hAnsi="Times New Roman"/>
          <w:sz w:val="26"/>
          <w:szCs w:val="26"/>
        </w:rPr>
        <w:t xml:space="preserve"> внутрисистемная производная</w:t>
      </w:r>
      <w:r>
        <w:rPr>
          <w:rFonts w:ascii="Times New Roman" w:hAnsi="Times New Roman"/>
          <w:sz w:val="26"/>
          <w:szCs w:val="26"/>
        </w:rPr>
        <w:t xml:space="preserve"> </w:t>
      </w:r>
      <w:r w:rsidR="004E68BA">
        <w:rPr>
          <w:rFonts w:ascii="Times New Roman" w:hAnsi="Times New Roman"/>
          <w:sz w:val="26"/>
          <w:szCs w:val="26"/>
        </w:rPr>
        <w:t xml:space="preserve">отражает </w:t>
      </w:r>
      <w:r w:rsidR="00C53946">
        <w:rPr>
          <w:rFonts w:ascii="Times New Roman" w:hAnsi="Times New Roman"/>
          <w:sz w:val="26"/>
          <w:szCs w:val="26"/>
        </w:rPr>
        <w:t>достоинства и недостатки всей системы в целом.</w:t>
      </w:r>
      <w:r w:rsidR="00874EDA">
        <w:rPr>
          <w:rFonts w:ascii="Times New Roman" w:hAnsi="Times New Roman"/>
          <w:sz w:val="26"/>
          <w:szCs w:val="26"/>
        </w:rPr>
        <w:t xml:space="preserve"> </w:t>
      </w:r>
    </w:p>
    <w:p w:rsidR="00C94184" w:rsidRPr="00C94184" w:rsidRDefault="00C94184" w:rsidP="00B40AAE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C94184">
        <w:rPr>
          <w:rFonts w:ascii="Times New Roman" w:hAnsi="Times New Roman"/>
          <w:b/>
          <w:sz w:val="26"/>
          <w:szCs w:val="26"/>
        </w:rPr>
        <w:t>Таблица 1. Сравнение систем здравоохранения</w:t>
      </w:r>
      <w:r>
        <w:rPr>
          <w:rFonts w:ascii="Times New Roman" w:hAnsi="Times New Roman"/>
          <w:b/>
          <w:sz w:val="26"/>
          <w:szCs w:val="26"/>
        </w:rPr>
        <w:t>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90"/>
        <w:gridCol w:w="3190"/>
        <w:gridCol w:w="3191"/>
      </w:tblGrid>
      <w:tr w:rsidR="00C53946" w:rsidRPr="00831DD8" w:rsidTr="00831DD8"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831DD8">
              <w:rPr>
                <w:rFonts w:ascii="Times New Roman" w:hAnsi="Times New Roman"/>
                <w:b/>
                <w:sz w:val="26"/>
                <w:szCs w:val="26"/>
              </w:rPr>
              <w:t>Показатель</w:t>
            </w:r>
          </w:p>
        </w:tc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31DD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Medicina</w:t>
            </w:r>
            <w:proofErr w:type="spellEnd"/>
            <w:r w:rsidRPr="00831DD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31DD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curativa</w:t>
            </w:r>
            <w:proofErr w:type="spellEnd"/>
          </w:p>
        </w:tc>
        <w:tc>
          <w:tcPr>
            <w:tcW w:w="3191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proofErr w:type="spellStart"/>
            <w:r w:rsidRPr="00831DD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Medicina</w:t>
            </w:r>
            <w:proofErr w:type="spellEnd"/>
            <w:r w:rsidRPr="00831DD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831DD8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preventiva</w:t>
            </w:r>
            <w:proofErr w:type="spellEnd"/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Основной акцент системы</w:t>
            </w:r>
          </w:p>
        </w:tc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Высокотехнологичное лечение (ЭКО/ИКСИ)</w:t>
            </w:r>
          </w:p>
        </w:tc>
        <w:tc>
          <w:tcPr>
            <w:tcW w:w="3191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Первичная профилактика</w:t>
            </w:r>
            <w:r w:rsidR="004E68BA" w:rsidRPr="00831DD8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proofErr w:type="gramStart"/>
            <w:r w:rsidR="004E68BA" w:rsidRPr="00831DD8">
              <w:rPr>
                <w:rFonts w:ascii="Times New Roman" w:hAnsi="Times New Roman"/>
                <w:sz w:val="26"/>
                <w:szCs w:val="26"/>
              </w:rPr>
              <w:t>сан-просвет</w:t>
            </w:r>
            <w:proofErr w:type="spellEnd"/>
            <w:proofErr w:type="gramEnd"/>
            <w:r w:rsidR="004E68BA" w:rsidRPr="00831DD8">
              <w:rPr>
                <w:rFonts w:ascii="Times New Roman" w:hAnsi="Times New Roman"/>
                <w:sz w:val="26"/>
                <w:szCs w:val="26"/>
              </w:rPr>
              <w:t xml:space="preserve"> работа, диспансеризация</w:t>
            </w:r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Парадигма</w:t>
            </w:r>
          </w:p>
        </w:tc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«Лечение больного человека»</w:t>
            </w:r>
          </w:p>
        </w:tc>
        <w:tc>
          <w:tcPr>
            <w:tcW w:w="3191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«Не дать заболеть здоровому»</w:t>
            </w:r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Принцип работы с пациентами</w:t>
            </w:r>
          </w:p>
        </w:tc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1DD8">
              <w:rPr>
                <w:rFonts w:ascii="Times New Roman" w:hAnsi="Times New Roman"/>
                <w:sz w:val="26"/>
                <w:szCs w:val="26"/>
                <w:lang w:val="en-US"/>
              </w:rPr>
              <w:t>“Collecting”</w:t>
            </w:r>
          </w:p>
        </w:tc>
        <w:tc>
          <w:tcPr>
            <w:tcW w:w="3191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831DD8">
              <w:rPr>
                <w:rFonts w:ascii="Times New Roman" w:hAnsi="Times New Roman"/>
                <w:sz w:val="26"/>
                <w:szCs w:val="26"/>
                <w:lang w:val="en-US"/>
              </w:rPr>
              <w:t>“Selecting”</w:t>
            </w:r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Основное место оказания помощи</w:t>
            </w:r>
          </w:p>
        </w:tc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Перинатальные центры</w:t>
            </w:r>
            <w:r w:rsidR="00A063D8">
              <w:rPr>
                <w:rFonts w:ascii="Times New Roman" w:hAnsi="Times New Roman"/>
                <w:sz w:val="26"/>
                <w:szCs w:val="26"/>
              </w:rPr>
              <w:t>, клиники ВРТ</w:t>
            </w:r>
          </w:p>
        </w:tc>
        <w:tc>
          <w:tcPr>
            <w:tcW w:w="3191" w:type="dxa"/>
          </w:tcPr>
          <w:p w:rsidR="00C53946" w:rsidRPr="00831DD8" w:rsidRDefault="00A063D8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Первичное звено, кабинеты здоровья </w:t>
            </w:r>
            <w:r w:rsidR="00C53946" w:rsidRPr="00831DD8">
              <w:rPr>
                <w:rFonts w:ascii="Times New Roman" w:hAnsi="Times New Roman"/>
                <w:sz w:val="26"/>
                <w:szCs w:val="26"/>
              </w:rPr>
              <w:t>(кабинеты репродуктивного здоровья)</w:t>
            </w:r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C53946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Доля пациентов, доходящих до уровня ВМП</w:t>
            </w:r>
          </w:p>
        </w:tc>
        <w:tc>
          <w:tcPr>
            <w:tcW w:w="3190" w:type="dxa"/>
          </w:tcPr>
          <w:p w:rsidR="00C53946" w:rsidRPr="00831DD8" w:rsidRDefault="00874EDA" w:rsidP="00874EDA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063D8">
              <w:rPr>
                <w:rFonts w:ascii="Times New Roman" w:hAnsi="Times New Roman"/>
                <w:sz w:val="26"/>
                <w:szCs w:val="26"/>
              </w:rPr>
              <w:t>а входе 100, на выходе 100</w:t>
            </w:r>
          </w:p>
        </w:tc>
        <w:tc>
          <w:tcPr>
            <w:tcW w:w="3191" w:type="dxa"/>
          </w:tcPr>
          <w:p w:rsidR="00C53946" w:rsidRPr="00831DD8" w:rsidRDefault="00874EDA" w:rsidP="00A06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</w:t>
            </w:r>
            <w:r w:rsidR="00A063D8">
              <w:rPr>
                <w:rFonts w:ascii="Times New Roman" w:hAnsi="Times New Roman"/>
                <w:sz w:val="26"/>
                <w:szCs w:val="26"/>
              </w:rPr>
              <w:t>а входе 100, на выходе 10</w:t>
            </w:r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4E68BA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Индикаторы работы системы</w:t>
            </w:r>
          </w:p>
        </w:tc>
        <w:tc>
          <w:tcPr>
            <w:tcW w:w="3190" w:type="dxa"/>
          </w:tcPr>
          <w:p w:rsidR="00C53946" w:rsidRPr="00831DD8" w:rsidRDefault="004E68BA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«Индикаторы болезни»: материнская</w:t>
            </w:r>
            <w:r w:rsidR="00A063D8">
              <w:rPr>
                <w:rFonts w:ascii="Times New Roman" w:hAnsi="Times New Roman"/>
                <w:sz w:val="26"/>
                <w:szCs w:val="26"/>
              </w:rPr>
              <w:t xml:space="preserve"> и младенческая</w:t>
            </w:r>
            <w:r w:rsidRPr="00831DD8">
              <w:rPr>
                <w:rFonts w:ascii="Times New Roman" w:hAnsi="Times New Roman"/>
                <w:sz w:val="26"/>
                <w:szCs w:val="26"/>
              </w:rPr>
              <w:t xml:space="preserve"> смертность, заболеваемость, число операций</w:t>
            </w:r>
            <w:r w:rsidR="00A063D8">
              <w:rPr>
                <w:rFonts w:ascii="Times New Roman" w:hAnsi="Times New Roman"/>
                <w:sz w:val="26"/>
                <w:szCs w:val="26"/>
              </w:rPr>
              <w:t xml:space="preserve"> ЭКО/ИКСИ </w:t>
            </w:r>
            <w:r w:rsidRPr="00831DD8">
              <w:rPr>
                <w:rFonts w:ascii="Times New Roman" w:hAnsi="Times New Roman"/>
                <w:sz w:val="26"/>
                <w:szCs w:val="26"/>
              </w:rPr>
              <w:t xml:space="preserve"> и т.п. </w:t>
            </w:r>
          </w:p>
        </w:tc>
        <w:tc>
          <w:tcPr>
            <w:tcW w:w="3191" w:type="dxa"/>
          </w:tcPr>
          <w:p w:rsidR="00C53946" w:rsidRPr="00831DD8" w:rsidRDefault="004E68BA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«Индикаторы здоровья»: рождаемость, репродуктивный потенциал, группы репродуктивного риска</w:t>
            </w:r>
          </w:p>
        </w:tc>
      </w:tr>
      <w:tr w:rsidR="00C53946" w:rsidRPr="00831DD8" w:rsidTr="00831DD8">
        <w:tc>
          <w:tcPr>
            <w:tcW w:w="3190" w:type="dxa"/>
          </w:tcPr>
          <w:p w:rsidR="00C53946" w:rsidRPr="00831DD8" w:rsidRDefault="004E68BA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 xml:space="preserve">Принцип финансирования </w:t>
            </w:r>
          </w:p>
        </w:tc>
        <w:tc>
          <w:tcPr>
            <w:tcW w:w="3190" w:type="dxa"/>
          </w:tcPr>
          <w:p w:rsidR="00C53946" w:rsidRPr="00831DD8" w:rsidRDefault="004E68BA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31DD8">
              <w:rPr>
                <w:rFonts w:ascii="Times New Roman" w:hAnsi="Times New Roman"/>
                <w:sz w:val="26"/>
                <w:szCs w:val="26"/>
              </w:rPr>
              <w:t>Деньги идут за больным человеком</w:t>
            </w:r>
          </w:p>
        </w:tc>
        <w:tc>
          <w:tcPr>
            <w:tcW w:w="3191" w:type="dxa"/>
          </w:tcPr>
          <w:p w:rsidR="00C53946" w:rsidRPr="00831DD8" w:rsidRDefault="004E68BA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831DD8">
              <w:rPr>
                <w:rFonts w:ascii="Times New Roman" w:hAnsi="Times New Roman"/>
                <w:sz w:val="26"/>
                <w:szCs w:val="26"/>
              </w:rPr>
              <w:t>Фондодержатели</w:t>
            </w:r>
            <w:proofErr w:type="spellEnd"/>
            <w:r w:rsidRPr="00831DD8">
              <w:rPr>
                <w:rFonts w:ascii="Times New Roman" w:hAnsi="Times New Roman"/>
                <w:sz w:val="26"/>
                <w:szCs w:val="26"/>
              </w:rPr>
              <w:t xml:space="preserve"> – врачи первичного звена.  </w:t>
            </w:r>
          </w:p>
        </w:tc>
      </w:tr>
      <w:tr w:rsidR="00A063D8" w:rsidRPr="00831DD8" w:rsidTr="00831DD8">
        <w:tc>
          <w:tcPr>
            <w:tcW w:w="3190" w:type="dxa"/>
          </w:tcPr>
          <w:p w:rsidR="00A063D8" w:rsidRPr="00831DD8" w:rsidRDefault="00A063D8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Основное выделение средств</w:t>
            </w:r>
          </w:p>
        </w:tc>
        <w:tc>
          <w:tcPr>
            <w:tcW w:w="3190" w:type="dxa"/>
          </w:tcPr>
          <w:p w:rsidR="00A063D8" w:rsidRPr="00A063D8" w:rsidRDefault="00A063D8" w:rsidP="00831D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III </w:t>
            </w:r>
            <w:r>
              <w:rPr>
                <w:rFonts w:ascii="Times New Roman" w:hAnsi="Times New Roman"/>
                <w:sz w:val="26"/>
                <w:szCs w:val="26"/>
              </w:rPr>
              <w:t>уровне</w:t>
            </w:r>
          </w:p>
        </w:tc>
        <w:tc>
          <w:tcPr>
            <w:tcW w:w="3191" w:type="dxa"/>
          </w:tcPr>
          <w:p w:rsidR="00A063D8" w:rsidRPr="00A063D8" w:rsidRDefault="00A063D8" w:rsidP="00A063D8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уровне </w:t>
            </w:r>
          </w:p>
        </w:tc>
      </w:tr>
    </w:tbl>
    <w:p w:rsidR="00C53946" w:rsidRDefault="00C53946" w:rsidP="00B40AAE">
      <w:pPr>
        <w:ind w:firstLine="708"/>
        <w:jc w:val="both"/>
        <w:rPr>
          <w:rFonts w:ascii="Times New Roman" w:hAnsi="Times New Roman"/>
          <w:sz w:val="26"/>
          <w:szCs w:val="26"/>
        </w:rPr>
      </w:pPr>
    </w:p>
    <w:p w:rsidR="00004CCA" w:rsidRPr="00AC54A4" w:rsidRDefault="00A063D8" w:rsidP="009913E4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>Финальная э</w:t>
      </w:r>
      <w:r w:rsidR="008D4740" w:rsidRPr="008D4740">
        <w:rPr>
          <w:rFonts w:ascii="Times New Roman" w:hAnsi="Times New Roman"/>
          <w:bCs/>
          <w:sz w:val="26"/>
          <w:szCs w:val="26"/>
        </w:rPr>
        <w:t>ффективност</w:t>
      </w:r>
      <w:r w:rsidR="00BA413C">
        <w:rPr>
          <w:rFonts w:ascii="Times New Roman" w:hAnsi="Times New Roman"/>
          <w:bCs/>
          <w:sz w:val="26"/>
          <w:szCs w:val="26"/>
        </w:rPr>
        <w:t>ь работы</w:t>
      </w:r>
      <w:r w:rsidR="00BA413C" w:rsidRPr="00BA413C">
        <w:rPr>
          <w:rFonts w:ascii="Times New Roman" w:hAnsi="Times New Roman"/>
          <w:bCs/>
          <w:sz w:val="26"/>
          <w:szCs w:val="26"/>
        </w:rPr>
        <w:t xml:space="preserve"> системы</w:t>
      </w:r>
      <w:r w:rsidR="00BA413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A413C">
        <w:rPr>
          <w:rFonts w:ascii="Times New Roman" w:hAnsi="Times New Roman"/>
          <w:sz w:val="26"/>
          <w:szCs w:val="26"/>
        </w:rPr>
        <w:t>здравоохранения</w:t>
      </w:r>
      <w:r w:rsidR="008D4740">
        <w:rPr>
          <w:rFonts w:ascii="Times New Roman" w:hAnsi="Times New Roman"/>
          <w:sz w:val="26"/>
          <w:szCs w:val="26"/>
        </w:rPr>
        <w:t xml:space="preserve"> </w:t>
      </w:r>
      <w:r w:rsidR="00BA413C">
        <w:rPr>
          <w:rFonts w:ascii="Times New Roman" w:hAnsi="Times New Roman"/>
          <w:sz w:val="26"/>
          <w:szCs w:val="26"/>
        </w:rPr>
        <w:t xml:space="preserve">должна оцениваться не по </w:t>
      </w:r>
      <w:r w:rsidR="00FE4617" w:rsidRPr="00AC54A4">
        <w:rPr>
          <w:rFonts w:ascii="Times New Roman" w:hAnsi="Times New Roman"/>
          <w:sz w:val="26"/>
          <w:szCs w:val="26"/>
        </w:rPr>
        <w:t>реализационны</w:t>
      </w:r>
      <w:r w:rsidR="00BA413C">
        <w:rPr>
          <w:rFonts w:ascii="Times New Roman" w:hAnsi="Times New Roman"/>
          <w:sz w:val="26"/>
          <w:szCs w:val="26"/>
        </w:rPr>
        <w:t>м показателям</w:t>
      </w:r>
      <w:r>
        <w:rPr>
          <w:rFonts w:ascii="Times New Roman" w:hAnsi="Times New Roman"/>
          <w:sz w:val="26"/>
          <w:szCs w:val="26"/>
        </w:rPr>
        <w:t xml:space="preserve"> болезни (таким</w:t>
      </w:r>
      <w:r w:rsidR="00FE4617" w:rsidRPr="00AC54A4">
        <w:rPr>
          <w:rFonts w:ascii="Times New Roman" w:hAnsi="Times New Roman"/>
          <w:sz w:val="26"/>
          <w:szCs w:val="26"/>
        </w:rPr>
        <w:t xml:space="preserve"> как материнская смертность, заболеваемость, число </w:t>
      </w:r>
      <w:r w:rsidR="00F16574" w:rsidRPr="00AC54A4">
        <w:rPr>
          <w:rFonts w:ascii="Times New Roman" w:hAnsi="Times New Roman"/>
          <w:sz w:val="26"/>
          <w:szCs w:val="26"/>
        </w:rPr>
        <w:t>выполненных операций и пр.</w:t>
      </w:r>
      <w:r w:rsidR="00FE4617" w:rsidRPr="00AC54A4">
        <w:rPr>
          <w:rFonts w:ascii="Times New Roman" w:hAnsi="Times New Roman"/>
          <w:sz w:val="26"/>
          <w:szCs w:val="26"/>
        </w:rPr>
        <w:t>)</w:t>
      </w:r>
      <w:r w:rsidR="00F16574" w:rsidRPr="00AC54A4">
        <w:rPr>
          <w:rFonts w:ascii="Times New Roman" w:hAnsi="Times New Roman"/>
          <w:sz w:val="26"/>
          <w:szCs w:val="26"/>
        </w:rPr>
        <w:t xml:space="preserve"> </w:t>
      </w:r>
      <w:r w:rsidR="00BA413C">
        <w:rPr>
          <w:rFonts w:ascii="Times New Roman" w:hAnsi="Times New Roman"/>
          <w:sz w:val="26"/>
          <w:szCs w:val="26"/>
        </w:rPr>
        <w:t>а по созданным интегральным</w:t>
      </w:r>
      <w:r w:rsidR="00FE4617" w:rsidRPr="00AC54A4">
        <w:rPr>
          <w:rFonts w:ascii="Times New Roman" w:hAnsi="Times New Roman"/>
          <w:sz w:val="26"/>
          <w:szCs w:val="26"/>
        </w:rPr>
        <w:t xml:space="preserve"> </w:t>
      </w:r>
      <w:r w:rsidR="00BA413C">
        <w:rPr>
          <w:rFonts w:ascii="Times New Roman" w:hAnsi="Times New Roman"/>
          <w:sz w:val="26"/>
          <w:szCs w:val="26"/>
        </w:rPr>
        <w:t>показателям</w:t>
      </w:r>
      <w:r w:rsidR="00FE4617" w:rsidRPr="00AC54A4">
        <w:rPr>
          <w:rFonts w:ascii="Times New Roman" w:hAnsi="Times New Roman"/>
          <w:sz w:val="26"/>
          <w:szCs w:val="26"/>
        </w:rPr>
        <w:t xml:space="preserve"> здоровья</w:t>
      </w:r>
      <w:r w:rsidR="00F16574" w:rsidRPr="00AC54A4">
        <w:rPr>
          <w:rFonts w:ascii="Times New Roman" w:hAnsi="Times New Roman"/>
          <w:sz w:val="26"/>
          <w:szCs w:val="26"/>
        </w:rPr>
        <w:t xml:space="preserve"> (репродуктивный потенциал, репродуктивный регистр, группы репродуктивного здоровья</w:t>
      </w:r>
      <w:r w:rsidR="00004CCA" w:rsidRPr="00AC54A4">
        <w:rPr>
          <w:rFonts w:ascii="Times New Roman" w:hAnsi="Times New Roman"/>
          <w:sz w:val="26"/>
          <w:szCs w:val="26"/>
        </w:rPr>
        <w:t>, рождаемость и т.п.</w:t>
      </w:r>
      <w:r w:rsidR="00F16574" w:rsidRPr="00AC54A4">
        <w:rPr>
          <w:rFonts w:ascii="Times New Roman" w:hAnsi="Times New Roman"/>
          <w:sz w:val="26"/>
          <w:szCs w:val="26"/>
        </w:rPr>
        <w:t>)</w:t>
      </w:r>
      <w:r w:rsidR="00FE4617" w:rsidRPr="00AC54A4">
        <w:rPr>
          <w:rFonts w:ascii="Times New Roman" w:hAnsi="Times New Roman"/>
          <w:sz w:val="26"/>
          <w:szCs w:val="26"/>
        </w:rPr>
        <w:t>.</w:t>
      </w:r>
      <w:r w:rsidR="004E6E98">
        <w:rPr>
          <w:rFonts w:ascii="Times New Roman" w:hAnsi="Times New Roman"/>
          <w:sz w:val="26"/>
          <w:szCs w:val="26"/>
        </w:rPr>
        <w:t xml:space="preserve"> </w:t>
      </w:r>
    </w:p>
    <w:p w:rsidR="00004CCA" w:rsidRPr="00AC54A4" w:rsidRDefault="003C246B" w:rsidP="00AC54A4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Применение показателей здоровья невозможно без внедрения принципов медицины «Медицины 4П»:</w:t>
      </w:r>
    </w:p>
    <w:p w:rsidR="00911B44" w:rsidRPr="00AC54A4" w:rsidRDefault="00C176D0" w:rsidP="00AC54A4">
      <w:pPr>
        <w:numPr>
          <w:ilvl w:val="1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C54A4">
        <w:rPr>
          <w:rFonts w:ascii="Times New Roman" w:hAnsi="Times New Roman"/>
          <w:b/>
          <w:bCs/>
          <w:sz w:val="26"/>
          <w:szCs w:val="26"/>
        </w:rPr>
        <w:t>П</w:t>
      </w:r>
      <w:r w:rsidRPr="00AC54A4">
        <w:rPr>
          <w:rFonts w:ascii="Times New Roman" w:hAnsi="Times New Roman"/>
          <w:sz w:val="26"/>
          <w:szCs w:val="26"/>
        </w:rPr>
        <w:t>рогностическая</w:t>
      </w:r>
    </w:p>
    <w:p w:rsidR="00911B44" w:rsidRPr="00AC54A4" w:rsidRDefault="00C176D0" w:rsidP="00AC54A4">
      <w:pPr>
        <w:numPr>
          <w:ilvl w:val="1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C54A4">
        <w:rPr>
          <w:rFonts w:ascii="Times New Roman" w:hAnsi="Times New Roman"/>
          <w:b/>
          <w:bCs/>
          <w:sz w:val="26"/>
          <w:szCs w:val="26"/>
        </w:rPr>
        <w:t>П</w:t>
      </w:r>
      <w:r w:rsidRPr="00AC54A4">
        <w:rPr>
          <w:rFonts w:ascii="Times New Roman" w:hAnsi="Times New Roman"/>
          <w:sz w:val="26"/>
          <w:szCs w:val="26"/>
        </w:rPr>
        <w:t>рофилактическая</w:t>
      </w:r>
    </w:p>
    <w:p w:rsidR="00911B44" w:rsidRPr="00AC54A4" w:rsidRDefault="00C176D0" w:rsidP="00AC54A4">
      <w:pPr>
        <w:numPr>
          <w:ilvl w:val="1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C54A4">
        <w:rPr>
          <w:rFonts w:ascii="Times New Roman" w:hAnsi="Times New Roman"/>
          <w:b/>
          <w:bCs/>
          <w:sz w:val="26"/>
          <w:szCs w:val="26"/>
        </w:rPr>
        <w:t>П</w:t>
      </w:r>
      <w:r w:rsidRPr="00AC54A4">
        <w:rPr>
          <w:rFonts w:ascii="Times New Roman" w:hAnsi="Times New Roman"/>
          <w:sz w:val="26"/>
          <w:szCs w:val="26"/>
        </w:rPr>
        <w:t>ерсонализированная</w:t>
      </w:r>
    </w:p>
    <w:p w:rsidR="00911B44" w:rsidRPr="00AC54A4" w:rsidRDefault="00C176D0" w:rsidP="00AC54A4">
      <w:pPr>
        <w:numPr>
          <w:ilvl w:val="1"/>
          <w:numId w:val="7"/>
        </w:numPr>
        <w:jc w:val="both"/>
        <w:rPr>
          <w:rFonts w:ascii="Times New Roman" w:hAnsi="Times New Roman"/>
          <w:sz w:val="26"/>
          <w:szCs w:val="26"/>
        </w:rPr>
      </w:pPr>
      <w:r w:rsidRPr="00AC54A4">
        <w:rPr>
          <w:rFonts w:ascii="Times New Roman" w:hAnsi="Times New Roman"/>
          <w:sz w:val="26"/>
          <w:szCs w:val="26"/>
        </w:rPr>
        <w:t xml:space="preserve">Предполагающая личное участие и вовлеченность </w:t>
      </w:r>
      <w:r w:rsidRPr="00AC54A4">
        <w:rPr>
          <w:rFonts w:ascii="Times New Roman" w:hAnsi="Times New Roman"/>
          <w:b/>
          <w:bCs/>
          <w:sz w:val="26"/>
          <w:szCs w:val="26"/>
        </w:rPr>
        <w:t>Пациента</w:t>
      </w:r>
    </w:p>
    <w:p w:rsidR="00743243" w:rsidRDefault="00F15E70" w:rsidP="00F15E70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«Медицина 4П» позволяет сформировать </w:t>
      </w:r>
      <w:r w:rsidR="006F2D44" w:rsidRPr="00AC54A4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у</w:t>
      </w:r>
      <w:r w:rsidR="006F2D44" w:rsidRPr="00AC54A4">
        <w:rPr>
          <w:rFonts w:ascii="Times New Roman" w:hAnsi="Times New Roman"/>
          <w:sz w:val="26"/>
          <w:szCs w:val="26"/>
        </w:rPr>
        <w:t xml:space="preserve"> активной </w:t>
      </w:r>
      <w:proofErr w:type="spellStart"/>
      <w:r w:rsidR="006F2D44" w:rsidRPr="00AC54A4">
        <w:rPr>
          <w:rFonts w:ascii="Times New Roman" w:hAnsi="Times New Roman"/>
          <w:sz w:val="26"/>
          <w:szCs w:val="26"/>
        </w:rPr>
        <w:t>выявляемости</w:t>
      </w:r>
      <w:proofErr w:type="spellEnd"/>
      <w:r w:rsidR="00743243">
        <w:rPr>
          <w:rFonts w:ascii="Times New Roman" w:hAnsi="Times New Roman"/>
          <w:sz w:val="26"/>
          <w:szCs w:val="26"/>
        </w:rPr>
        <w:t>,</w:t>
      </w:r>
      <w:r w:rsidR="00743243" w:rsidRPr="00743243">
        <w:rPr>
          <w:rFonts w:ascii="Times New Roman" w:hAnsi="Times New Roman"/>
          <w:sz w:val="26"/>
          <w:szCs w:val="26"/>
        </w:rPr>
        <w:t xml:space="preserve"> </w:t>
      </w:r>
      <w:r w:rsidR="00743243">
        <w:rPr>
          <w:rFonts w:ascii="Times New Roman" w:hAnsi="Times New Roman"/>
          <w:sz w:val="26"/>
          <w:szCs w:val="26"/>
        </w:rPr>
        <w:t xml:space="preserve">с </w:t>
      </w:r>
      <w:r w:rsidR="00743243" w:rsidRPr="00F15E70">
        <w:rPr>
          <w:rFonts w:ascii="Times New Roman" w:hAnsi="Times New Roman"/>
          <w:sz w:val="26"/>
          <w:szCs w:val="26"/>
        </w:rPr>
        <w:t>безусловным приоритетом первичной медико-санитарной помощи как ключевого инструмента «профилактической</w:t>
      </w:r>
      <w:r w:rsidR="00A063D8">
        <w:rPr>
          <w:rFonts w:ascii="Times New Roman" w:hAnsi="Times New Roman"/>
          <w:sz w:val="26"/>
          <w:szCs w:val="26"/>
        </w:rPr>
        <w:t xml:space="preserve"> репродуктивной</w:t>
      </w:r>
      <w:r w:rsidR="00743243" w:rsidRPr="00F15E70">
        <w:rPr>
          <w:rFonts w:ascii="Times New Roman" w:hAnsi="Times New Roman"/>
          <w:sz w:val="26"/>
          <w:szCs w:val="26"/>
        </w:rPr>
        <w:t xml:space="preserve"> медицины».</w:t>
      </w:r>
      <w:r w:rsidR="00874EDA">
        <w:rPr>
          <w:rFonts w:ascii="Times New Roman" w:hAnsi="Times New Roman"/>
          <w:sz w:val="26"/>
          <w:szCs w:val="26"/>
        </w:rPr>
        <w:t xml:space="preserve"> К примеру, врач-педиатр проводит борьбу с факторами риска нарушений репродуктивного здоровья, и формирует группы репродуктивного риска. Это позволяет уменьшить репродуктивную заболеваемость в будущем, спланировать оказание помощи   </w:t>
      </w:r>
      <w:r w:rsidR="006F2D44" w:rsidRPr="00AC54A4">
        <w:rPr>
          <w:rFonts w:ascii="Times New Roman" w:hAnsi="Times New Roman"/>
          <w:sz w:val="26"/>
          <w:szCs w:val="26"/>
        </w:rPr>
        <w:t xml:space="preserve"> </w:t>
      </w:r>
      <w:r w:rsidR="00874EDA">
        <w:rPr>
          <w:rFonts w:ascii="Times New Roman" w:hAnsi="Times New Roman"/>
          <w:sz w:val="26"/>
          <w:szCs w:val="26"/>
        </w:rPr>
        <w:t xml:space="preserve">и уменьшить необходимость </w:t>
      </w:r>
      <w:proofErr w:type="gramStart"/>
      <w:r w:rsidR="00874EDA">
        <w:rPr>
          <w:rFonts w:ascii="Times New Roman" w:hAnsi="Times New Roman"/>
          <w:sz w:val="26"/>
          <w:szCs w:val="26"/>
        </w:rPr>
        <w:t>во</w:t>
      </w:r>
      <w:proofErr w:type="gramEnd"/>
      <w:r w:rsidR="00874EDA">
        <w:rPr>
          <w:rFonts w:ascii="Times New Roman" w:hAnsi="Times New Roman"/>
          <w:sz w:val="26"/>
          <w:szCs w:val="26"/>
        </w:rPr>
        <w:t xml:space="preserve"> вспомогательных репродуктивных технологий. </w:t>
      </w:r>
      <w:r w:rsidR="00743243">
        <w:rPr>
          <w:rFonts w:ascii="Times New Roman" w:hAnsi="Times New Roman"/>
          <w:sz w:val="26"/>
          <w:szCs w:val="26"/>
        </w:rPr>
        <w:t xml:space="preserve">В этой системе </w:t>
      </w:r>
      <w:r w:rsidR="006F2D44" w:rsidRPr="00AC54A4">
        <w:rPr>
          <w:rFonts w:ascii="Times New Roman" w:hAnsi="Times New Roman"/>
          <w:sz w:val="26"/>
          <w:szCs w:val="26"/>
        </w:rPr>
        <w:t>врач</w:t>
      </w:r>
      <w:r w:rsidR="00874EDA">
        <w:rPr>
          <w:rFonts w:ascii="Times New Roman" w:hAnsi="Times New Roman"/>
          <w:sz w:val="26"/>
          <w:szCs w:val="26"/>
        </w:rPr>
        <w:t>-педиатр</w:t>
      </w:r>
      <w:r w:rsidR="001F12FC">
        <w:rPr>
          <w:rFonts w:ascii="Times New Roman" w:hAnsi="Times New Roman"/>
          <w:sz w:val="26"/>
          <w:szCs w:val="26"/>
        </w:rPr>
        <w:t>,</w:t>
      </w:r>
      <w:r w:rsidR="00743243">
        <w:rPr>
          <w:rFonts w:ascii="Times New Roman" w:hAnsi="Times New Roman"/>
          <w:sz w:val="26"/>
          <w:szCs w:val="26"/>
        </w:rPr>
        <w:t xml:space="preserve"> </w:t>
      </w:r>
      <w:r w:rsidR="006F2D44" w:rsidRPr="00AC54A4">
        <w:rPr>
          <w:rFonts w:ascii="Times New Roman" w:hAnsi="Times New Roman"/>
          <w:sz w:val="26"/>
          <w:szCs w:val="26"/>
        </w:rPr>
        <w:t>прежде всего</w:t>
      </w:r>
      <w:r>
        <w:rPr>
          <w:rFonts w:ascii="Times New Roman" w:hAnsi="Times New Roman"/>
          <w:sz w:val="26"/>
          <w:szCs w:val="26"/>
        </w:rPr>
        <w:t>,</w:t>
      </w:r>
      <w:r w:rsidR="006F2D44" w:rsidRPr="00AC54A4">
        <w:rPr>
          <w:rFonts w:ascii="Times New Roman" w:hAnsi="Times New Roman"/>
          <w:sz w:val="26"/>
          <w:szCs w:val="26"/>
        </w:rPr>
        <w:t xml:space="preserve"> работа</w:t>
      </w:r>
      <w:r>
        <w:rPr>
          <w:rFonts w:ascii="Times New Roman" w:hAnsi="Times New Roman"/>
          <w:sz w:val="26"/>
          <w:szCs w:val="26"/>
        </w:rPr>
        <w:t>ет</w:t>
      </w:r>
      <w:r w:rsidR="006F2D44" w:rsidRPr="00AC54A4">
        <w:rPr>
          <w:rFonts w:ascii="Times New Roman" w:hAnsi="Times New Roman"/>
          <w:sz w:val="26"/>
          <w:szCs w:val="26"/>
        </w:rPr>
        <w:t xml:space="preserve"> со здоровым человеком, факторами </w:t>
      </w:r>
      <w:r w:rsidR="00874EDA">
        <w:rPr>
          <w:rFonts w:ascii="Times New Roman" w:hAnsi="Times New Roman"/>
          <w:sz w:val="26"/>
          <w:szCs w:val="26"/>
        </w:rPr>
        <w:t xml:space="preserve">репродуктивного </w:t>
      </w:r>
      <w:r w:rsidR="006F2D44" w:rsidRPr="00AC54A4">
        <w:rPr>
          <w:rFonts w:ascii="Times New Roman" w:hAnsi="Times New Roman"/>
          <w:sz w:val="26"/>
          <w:szCs w:val="26"/>
        </w:rPr>
        <w:t>риска.</w:t>
      </w:r>
      <w:r>
        <w:rPr>
          <w:rFonts w:ascii="Times New Roman" w:hAnsi="Times New Roman"/>
          <w:sz w:val="26"/>
          <w:szCs w:val="26"/>
        </w:rPr>
        <w:t xml:space="preserve"> </w:t>
      </w:r>
      <w:r w:rsidR="00EF3ACC" w:rsidRPr="00AC54A4">
        <w:rPr>
          <w:rFonts w:ascii="Times New Roman" w:hAnsi="Times New Roman"/>
          <w:sz w:val="26"/>
          <w:szCs w:val="26"/>
        </w:rPr>
        <w:t xml:space="preserve">Он должен работать на предотвращение </w:t>
      </w:r>
      <w:r w:rsidR="00743243">
        <w:rPr>
          <w:rFonts w:ascii="Times New Roman" w:hAnsi="Times New Roman"/>
          <w:sz w:val="26"/>
          <w:szCs w:val="26"/>
        </w:rPr>
        <w:t>случаев развития заболеваний,</w:t>
      </w:r>
      <w:r w:rsidR="00367E33" w:rsidRPr="00AC54A4">
        <w:rPr>
          <w:rFonts w:ascii="Times New Roman" w:hAnsi="Times New Roman"/>
          <w:sz w:val="26"/>
          <w:szCs w:val="26"/>
        </w:rPr>
        <w:t xml:space="preserve"> </w:t>
      </w:r>
      <w:r w:rsidR="00743243">
        <w:rPr>
          <w:rFonts w:ascii="Times New Roman" w:hAnsi="Times New Roman"/>
          <w:sz w:val="26"/>
          <w:szCs w:val="26"/>
        </w:rPr>
        <w:t>з</w:t>
      </w:r>
      <w:r w:rsidR="00367E33" w:rsidRPr="00AC54A4">
        <w:rPr>
          <w:rFonts w:ascii="Times New Roman" w:hAnsi="Times New Roman"/>
          <w:sz w:val="26"/>
          <w:szCs w:val="26"/>
        </w:rPr>
        <w:t>нать всех людей, на прикрепленной ему территории и входящих в группу риска.  О</w:t>
      </w:r>
      <w:r w:rsidR="00EF3ACC" w:rsidRPr="00AC54A4">
        <w:rPr>
          <w:rFonts w:ascii="Times New Roman" w:hAnsi="Times New Roman"/>
          <w:sz w:val="26"/>
          <w:szCs w:val="26"/>
        </w:rPr>
        <w:t>днако</w:t>
      </w:r>
      <w:proofErr w:type="gramStart"/>
      <w:r w:rsidR="00EF3ACC" w:rsidRPr="00AC54A4">
        <w:rPr>
          <w:rFonts w:ascii="Times New Roman" w:hAnsi="Times New Roman"/>
          <w:sz w:val="26"/>
          <w:szCs w:val="26"/>
        </w:rPr>
        <w:t>,</w:t>
      </w:r>
      <w:proofErr w:type="gramEnd"/>
      <w:r w:rsidR="00EF3ACC" w:rsidRPr="00AC54A4">
        <w:rPr>
          <w:rFonts w:ascii="Times New Roman" w:hAnsi="Times New Roman"/>
          <w:sz w:val="26"/>
          <w:szCs w:val="26"/>
        </w:rPr>
        <w:t xml:space="preserve"> чтобы врач</w:t>
      </w:r>
      <w:r w:rsidR="00874EDA">
        <w:rPr>
          <w:rFonts w:ascii="Times New Roman" w:hAnsi="Times New Roman"/>
          <w:sz w:val="26"/>
          <w:szCs w:val="26"/>
        </w:rPr>
        <w:t>-педиатр</w:t>
      </w:r>
      <w:r w:rsidR="00EF3ACC" w:rsidRPr="00AC54A4">
        <w:rPr>
          <w:rFonts w:ascii="Times New Roman" w:hAnsi="Times New Roman"/>
          <w:sz w:val="26"/>
          <w:szCs w:val="26"/>
        </w:rPr>
        <w:t xml:space="preserve"> смог спокойно работать в направлении профилактики он не должен переживать, что ему будет уменьшено финансирование, за счет сокращения обращаемости по поводу заболеваний. Врач должен </w:t>
      </w:r>
      <w:r w:rsidR="00743243">
        <w:rPr>
          <w:rFonts w:ascii="Times New Roman" w:hAnsi="Times New Roman"/>
          <w:sz w:val="26"/>
          <w:szCs w:val="26"/>
        </w:rPr>
        <w:t xml:space="preserve">являться основным </w:t>
      </w:r>
      <w:proofErr w:type="spellStart"/>
      <w:r w:rsidR="00743243">
        <w:rPr>
          <w:rFonts w:ascii="Times New Roman" w:hAnsi="Times New Roman"/>
          <w:sz w:val="26"/>
          <w:szCs w:val="26"/>
        </w:rPr>
        <w:t>фондодержателем</w:t>
      </w:r>
      <w:proofErr w:type="spellEnd"/>
      <w:r w:rsidR="00743243">
        <w:rPr>
          <w:rFonts w:ascii="Times New Roman" w:hAnsi="Times New Roman"/>
          <w:sz w:val="26"/>
          <w:szCs w:val="26"/>
        </w:rPr>
        <w:t xml:space="preserve"> на этом уровне оказания медицинской помощи</w:t>
      </w:r>
      <w:r w:rsidR="00367E33" w:rsidRPr="00AC54A4">
        <w:rPr>
          <w:rFonts w:ascii="Times New Roman" w:hAnsi="Times New Roman"/>
          <w:sz w:val="26"/>
          <w:szCs w:val="26"/>
        </w:rPr>
        <w:t xml:space="preserve">. </w:t>
      </w:r>
    </w:p>
    <w:p w:rsidR="00743243" w:rsidRDefault="00743243" w:rsidP="00F15E70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Одним из примеров формирования Национальной системы здравоохранения может стать формируемая трехуровневая </w:t>
      </w:r>
      <w:r w:rsidRPr="00AC54A4">
        <w:rPr>
          <w:rFonts w:ascii="Times New Roman" w:hAnsi="Times New Roman"/>
          <w:sz w:val="26"/>
          <w:szCs w:val="26"/>
        </w:rPr>
        <w:t>систем</w:t>
      </w:r>
      <w:r>
        <w:rPr>
          <w:rFonts w:ascii="Times New Roman" w:hAnsi="Times New Roman"/>
          <w:sz w:val="26"/>
          <w:szCs w:val="26"/>
        </w:rPr>
        <w:t>а</w:t>
      </w:r>
      <w:r w:rsidRPr="00AC54A4">
        <w:rPr>
          <w:rFonts w:ascii="Times New Roman" w:hAnsi="Times New Roman"/>
          <w:sz w:val="26"/>
          <w:szCs w:val="26"/>
        </w:rPr>
        <w:t xml:space="preserve"> охраны репродуктивного здоровья</w:t>
      </w:r>
      <w:r>
        <w:rPr>
          <w:rFonts w:ascii="Times New Roman" w:hAnsi="Times New Roman"/>
          <w:sz w:val="26"/>
          <w:szCs w:val="26"/>
        </w:rPr>
        <w:t>.</w:t>
      </w:r>
    </w:p>
    <w:p w:rsidR="00C94184" w:rsidRDefault="00206490" w:rsidP="00F15E70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noProof/>
          <w:sz w:val="26"/>
          <w:szCs w:val="26"/>
        </w:rPr>
        <w:lastRenderedPageBreak/>
        <w:drawing>
          <wp:inline distT="0" distB="0" distL="0" distR="0">
            <wp:extent cx="5621020" cy="4177665"/>
            <wp:effectExtent l="0" t="0" r="0" b="0"/>
            <wp:docPr id="1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893175" cy="6518315"/>
                      <a:chOff x="250825" y="71422"/>
                      <a:chExt cx="8893175" cy="6518315"/>
                    </a:xfrm>
                  </a:grpSpPr>
                  <a:sp>
                    <a:nvSpPr>
                      <a:cNvPr id="3" name="Содержимое 2"/>
                      <a:cNvSpPr>
                        <a:spLocks noGrp="1"/>
                      </a:cNvSpPr>
                    </a:nvSpPr>
                    <a:spPr bwMode="auto">
                      <a:xfrm>
                        <a:off x="250825" y="1350972"/>
                        <a:ext cx="8497888" cy="990616"/>
                      </a:xfrm>
                      <a:prstGeom prst="rect">
                        <a:avLst/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342900" indent="-3429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3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742950" indent="-28575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8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2pPr>
                          <a:lvl3pPr marL="11430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•"/>
                            <a:defRPr sz="24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3pPr>
                          <a:lvl4pPr marL="16002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–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4pPr>
                          <a:lvl5pPr marL="2057400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5pPr>
                          <a:lvl6pPr marL="25146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6pPr>
                          <a:lvl7pPr marL="29718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7pPr>
                          <a:lvl8pPr marL="34290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8pPr>
                          <a:lvl9pPr marL="3886200" indent="-228600" algn="l" rtl="0" fontAlgn="base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har char="»"/>
                            <a:defRPr sz="2000">
                              <a:solidFill>
                                <a:schemeClr val="tx1"/>
                              </a:solidFill>
                              <a:latin typeface="+mn-lt"/>
                              <a:cs typeface="+mn-cs"/>
                            </a:defRPr>
                          </a:lvl9pPr>
                        </a:lstStyle>
                        <a:p>
                          <a:pPr marL="0" indent="0">
                            <a:buNone/>
                            <a:defRPr/>
                          </a:pPr>
                          <a:r>
                            <a:rPr lang="ru-RU" sz="2400" b="1" dirty="0" smtClean="0"/>
                            <a:t>1</a:t>
                          </a:r>
                          <a:r>
                            <a:rPr lang="ru-RU" b="1" dirty="0" smtClean="0"/>
                            <a:t>. </a:t>
                          </a:r>
                          <a:r>
                            <a:rPr lang="ru-RU" sz="2800" b="1" dirty="0" smtClean="0"/>
                            <a:t>Кабинеты репродуктивного </a:t>
                          </a:r>
                          <a:r>
                            <a:rPr lang="ru-RU" sz="2800" b="1" dirty="0" smtClean="0"/>
                            <a:t>здоровья </a:t>
                          </a:r>
                          <a:r>
                            <a:rPr lang="ru-RU" sz="2800" dirty="0" smtClean="0"/>
                            <a:t>в </a:t>
                          </a:r>
                          <a:r>
                            <a:rPr lang="ru-RU" sz="2800" dirty="0" smtClean="0"/>
                            <a:t>составе Центров здоровья</a:t>
                          </a:r>
                          <a:endParaRPr lang="ru-RU" sz="2400" dirty="0" smtClean="0"/>
                        </a:p>
                        <a:p>
                          <a:pPr>
                            <a:buFontTx/>
                            <a:buNone/>
                            <a:defRPr/>
                          </a:pPr>
                          <a:endParaRPr lang="ru-RU" sz="2400" b="1" dirty="0"/>
                        </a:p>
                      </a:txBody>
                      <a:useSpRect/>
                    </a:txSp>
                  </a:sp>
                  <a:sp>
                    <a:nvSpPr>
                      <a:cNvPr id="5" name="Содержимое 2"/>
                      <a:cNvSpPr txBox="1">
                        <a:spLocks/>
                      </a:cNvSpPr>
                    </a:nvSpPr>
                    <a:spPr bwMode="auto">
                      <a:xfrm>
                        <a:off x="250825" y="3060724"/>
                        <a:ext cx="6321439" cy="1296988"/>
                      </a:xfrm>
                      <a:prstGeom prst="rect">
                        <a:avLst/>
                      </a:prstGeom>
                      <a:solidFill>
                        <a:schemeClr val="bg2">
                          <a:lumMod val="40000"/>
                          <a:lumOff val="6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2400" b="1" kern="0" dirty="0">
                              <a:latin typeface="+mn-lt"/>
                              <a:cs typeface="+mn-cs"/>
                            </a:rPr>
                            <a:t>2</a:t>
                          </a:r>
                          <a:r>
                            <a:rPr lang="ru-RU" sz="2400" b="1" kern="0" dirty="0" smtClean="0">
                              <a:latin typeface="+mn-lt"/>
                              <a:cs typeface="+mn-cs"/>
                            </a:rPr>
                            <a:t>. </a:t>
                          </a:r>
                          <a:r>
                            <a:rPr lang="ru-RU" sz="2400" b="1" kern="0" dirty="0"/>
                            <a:t>Центры репродуктивного здоровья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2400" kern="0" dirty="0"/>
                            <a:t>(бывшие перинатальные центры </a:t>
                          </a:r>
                          <a:r>
                            <a:rPr lang="ru-RU" sz="2400" kern="0" dirty="0" smtClean="0"/>
                            <a:t>и </a:t>
                          </a:r>
                          <a:r>
                            <a:rPr lang="ru-RU" sz="2400" kern="0" dirty="0"/>
                            <a:t>родильные дома)</a:t>
                          </a: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sz="2400" b="1" kern="0" dirty="0" smtClean="0">
                              <a:latin typeface="+mn-lt"/>
                              <a:cs typeface="+mn-cs"/>
                            </a:rPr>
                            <a:t> </a:t>
                          </a:r>
                          <a:endParaRPr lang="ru-RU" sz="2400" kern="0" dirty="0">
                            <a:latin typeface="+mn-lt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8" name="Стрелка вниз 7"/>
                      <a:cNvSpPr/>
                    </a:nvSpPr>
                    <a:spPr>
                      <a:xfrm>
                        <a:off x="1692275" y="2343172"/>
                        <a:ext cx="1655763" cy="793749"/>
                      </a:xfrm>
                      <a:prstGeom prst="down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" name="Содержимое 2"/>
                      <a:cNvSpPr txBox="1">
                        <a:spLocks/>
                      </a:cNvSpPr>
                    </a:nvSpPr>
                    <a:spPr bwMode="auto">
                      <a:xfrm>
                        <a:off x="250825" y="4933956"/>
                        <a:ext cx="8424863" cy="1295400"/>
                      </a:xfrm>
                      <a:prstGeom prst="rect">
                        <a:avLst/>
                      </a:prstGeom>
                      <a:solidFill>
                        <a:schemeClr val="bg2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b="1" kern="0" dirty="0">
                              <a:latin typeface="+mn-lt"/>
                              <a:cs typeface="+mn-cs"/>
                            </a:rPr>
                            <a:t>3</a:t>
                          </a:r>
                          <a:r>
                            <a:rPr lang="ru-RU" b="1" kern="0" dirty="0" smtClean="0">
                              <a:latin typeface="+mn-lt"/>
                              <a:cs typeface="+mn-cs"/>
                            </a:rPr>
                            <a:t>.</a:t>
                          </a:r>
                          <a:r>
                            <a:rPr lang="ru-RU" b="1" kern="0" dirty="0"/>
                            <a:t> Отраслевые НИИ и </a:t>
                          </a:r>
                          <a:endParaRPr lang="ru-RU" b="1" kern="0" dirty="0" smtClean="0"/>
                        </a:p>
                        <a:p>
                          <a:pPr marL="357188" indent="-357188" eaLnBrk="0" hangingPunct="0">
                            <a:spcBef>
                              <a:spcPct val="20000"/>
                            </a:spcBef>
                            <a:defRPr/>
                          </a:pPr>
                          <a:r>
                            <a:rPr lang="ru-RU" b="1" kern="0" dirty="0" smtClean="0"/>
                            <a:t>Научные </a:t>
                          </a:r>
                          <a:r>
                            <a:rPr lang="ru-RU" b="1" kern="0" dirty="0"/>
                            <a:t>центры</a:t>
                          </a:r>
                          <a:r>
                            <a:rPr lang="ru-RU" b="1" kern="0" dirty="0" smtClean="0">
                              <a:latin typeface="+mn-lt"/>
                              <a:cs typeface="+mn-cs"/>
                            </a:rPr>
                            <a:t> </a:t>
                          </a:r>
                          <a:endParaRPr lang="ru-RU" b="1" kern="0" dirty="0">
                            <a:latin typeface="+mn-lt"/>
                            <a:cs typeface="+mn-cs"/>
                          </a:endParaRPr>
                        </a:p>
                        <a:p>
                          <a:pPr marL="342900" indent="-342900" eaLnBrk="0" hangingPunct="0">
                            <a:spcBef>
                              <a:spcPct val="20000"/>
                            </a:spcBef>
                            <a:defRPr/>
                          </a:pPr>
                          <a:endParaRPr lang="ru-RU" sz="2000" b="1" kern="0" dirty="0">
                            <a:latin typeface="+mn-lt"/>
                            <a:cs typeface="+mn-cs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1" name="Стрелка вниз 10"/>
                      <a:cNvSpPr/>
                    </a:nvSpPr>
                    <a:spPr>
                      <a:xfrm>
                        <a:off x="2051050" y="4357694"/>
                        <a:ext cx="1081088" cy="719137"/>
                      </a:xfrm>
                      <a:prstGeom prst="down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54" name="Заголовок 1"/>
                      <a:cNvSpPr>
                        <a:spLocks noGrp="1"/>
                      </a:cNvSpPr>
                    </a:nvSpPr>
                    <a:spPr bwMode="auto">
                      <a:xfrm>
                        <a:off x="250825" y="71422"/>
                        <a:ext cx="8229600" cy="1143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+mj-lt"/>
                              <a:ea typeface="+mj-ea"/>
                              <a:cs typeface="+mj-cs"/>
                            </a:defRPr>
                          </a:lvl1pPr>
                          <a:lvl2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2pPr>
                          <a:lvl3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3pPr>
                          <a:lvl4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4pPr>
                          <a:lvl5pPr algn="ctr" rtl="0" eaLnBrk="0" fontAlgn="base" hangingPunct="0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5pPr>
                          <a:lvl6pPr marL="4572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6pPr>
                          <a:lvl7pPr marL="9144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7pPr>
                          <a:lvl8pPr marL="13716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8pPr>
                          <a:lvl9pPr marL="1828800" algn="ctr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4400">
                              <a:solidFill>
                                <a:schemeClr val="tx2"/>
                              </a:solidFill>
                              <a:latin typeface="Arial" charset="0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2400" b="1" dirty="0" smtClean="0">
                              <a:solidFill>
                                <a:srgbClr val="0000FF"/>
                              </a:solidFill>
                            </a:rPr>
                            <a:t>Примерная схема </a:t>
                          </a:r>
                          <a:br>
                            <a:rPr lang="ru-RU" sz="2400" b="1" dirty="0" smtClean="0">
                              <a:solidFill>
                                <a:srgbClr val="0000FF"/>
                              </a:solidFill>
                            </a:rPr>
                          </a:br>
                          <a:r>
                            <a:rPr lang="ru-RU" sz="2400" b="1" dirty="0" smtClean="0">
                              <a:solidFill>
                                <a:srgbClr val="0000FF"/>
                              </a:solidFill>
                            </a:rPr>
                            <a:t>службы репродуктивного здоровья</a:t>
                          </a:r>
                        </a:p>
                      </a:txBody>
                      <a:useSpRect/>
                    </a:txSp>
                  </a:sp>
                  <a:sp>
                    <a:nvSpPr>
                      <a:cNvPr id="12" name="Стрелка вниз 11"/>
                      <a:cNvSpPr/>
                    </a:nvSpPr>
                    <a:spPr>
                      <a:xfrm rot="10800000">
                        <a:off x="6875463" y="1909787"/>
                        <a:ext cx="1476375" cy="4679950"/>
                      </a:xfrm>
                      <a:prstGeom prst="downArrow">
                        <a:avLst/>
                      </a:prstGeom>
                      <a:solidFill>
                        <a:srgbClr val="FF0000"/>
                      </a:solidFill>
                    </a:spPr>
                    <a:txSp>
                      <a:txBody>
                        <a:bodyPr anchor="ctr"/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>
                            <a:defRPr/>
                          </a:pPr>
                          <a:endParaRPr lang="ru-RU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  <a:sp>
                    <a:nvSpPr>
                      <a:cNvPr id="6156" name="TextBox 12"/>
                      <a:cNvSpPr txBox="1">
                        <a:spLocks noChangeArrowheads="1"/>
                      </a:cNvSpPr>
                    </a:nvSpPr>
                    <a:spPr bwMode="auto">
                      <a:xfrm>
                        <a:off x="6696075" y="2844824"/>
                        <a:ext cx="2447925" cy="314007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15875">
                        <a:solidFill>
                          <a:schemeClr val="tx1"/>
                        </a:solidFill>
                        <a:miter lim="800000"/>
                        <a:headEnd/>
                        <a:tailEnd/>
                      </a:ln>
                    </a:spPr>
                    <a:txSp>
                      <a:txBody>
                        <a:bodyPr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1pPr>
                          <a:lvl2pPr marL="4572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2pPr>
                          <a:lvl3pPr marL="9144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3pPr>
                          <a:lvl4pPr marL="13716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4pPr>
                          <a:lvl5pPr marL="182880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5pPr>
                          <a:lvl6pPr marL="22860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6pPr>
                          <a:lvl7pPr marL="27432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7pPr>
                          <a:lvl8pPr marL="32004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8pPr>
                          <a:lvl9pPr marL="3657600" algn="l" defTabSz="914400" rtl="0" eaLnBrk="1" latinLnBrk="0" hangingPunct="1">
                            <a:defRPr sz="2800" kern="1200">
                              <a:solidFill>
                                <a:schemeClr val="tx1"/>
                              </a:solidFill>
                              <a:latin typeface="Arial" charset="0"/>
                              <a:ea typeface="+mn-ea"/>
                              <a:cs typeface="Arial" charset="0"/>
                            </a:defRPr>
                          </a:lvl9pPr>
                        </a:lstStyle>
                        <a:p>
                          <a:r>
                            <a:rPr lang="ru-RU" sz="1800" b="1" dirty="0"/>
                            <a:t>Иерархическая вертикаль </a:t>
                          </a:r>
                          <a:r>
                            <a:rPr lang="ru-RU" sz="1800" b="1" u="sng" dirty="0"/>
                            <a:t>штатных</a:t>
                          </a:r>
                        </a:p>
                        <a:p>
                          <a:r>
                            <a:rPr lang="ru-RU" sz="1800" b="1" dirty="0"/>
                            <a:t>главных специалистов:</a:t>
                          </a:r>
                        </a:p>
                        <a:p>
                          <a:r>
                            <a:rPr lang="ru-RU" sz="1800" dirty="0"/>
                            <a:t>Обучение, допуск к </a:t>
                          </a:r>
                          <a:r>
                            <a:rPr lang="ru-RU" sz="1800" dirty="0" err="1"/>
                            <a:t>работе,поддержка</a:t>
                          </a:r>
                          <a:r>
                            <a:rPr lang="ru-RU" sz="1800" dirty="0"/>
                            <a:t>, контроль качества   работы и карьера врачей, организация помощи и развитие службы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C94184" w:rsidRPr="00C94184" w:rsidRDefault="00C94184" w:rsidP="00F15E70">
      <w:pPr>
        <w:ind w:firstLine="360"/>
        <w:jc w:val="both"/>
        <w:rPr>
          <w:rFonts w:ascii="Times New Roman" w:hAnsi="Times New Roman"/>
          <w:b/>
          <w:sz w:val="26"/>
          <w:szCs w:val="26"/>
        </w:rPr>
      </w:pPr>
      <w:r w:rsidRPr="00C94184">
        <w:rPr>
          <w:rFonts w:ascii="Times New Roman" w:hAnsi="Times New Roman"/>
          <w:b/>
          <w:sz w:val="26"/>
          <w:szCs w:val="26"/>
        </w:rPr>
        <w:t>Рисунок 1. Примерная схема службы охраны репродуктивного здоровья.</w:t>
      </w:r>
    </w:p>
    <w:p w:rsidR="00C176D0" w:rsidRPr="00AC54A4" w:rsidRDefault="00743243" w:rsidP="00AC54A4">
      <w:pPr>
        <w:ind w:firstLine="360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Ключевым элементом первого</w:t>
      </w:r>
      <w:r w:rsidR="00751865" w:rsidRPr="00AC54A4">
        <w:rPr>
          <w:rFonts w:ascii="Times New Roman" w:hAnsi="Times New Roman"/>
          <w:sz w:val="26"/>
          <w:szCs w:val="26"/>
        </w:rPr>
        <w:t xml:space="preserve"> уровн</w:t>
      </w:r>
      <w:r>
        <w:rPr>
          <w:rFonts w:ascii="Times New Roman" w:hAnsi="Times New Roman"/>
          <w:sz w:val="26"/>
          <w:szCs w:val="26"/>
        </w:rPr>
        <w:t>я</w:t>
      </w:r>
      <w:r w:rsidR="00751865" w:rsidRPr="00AC54A4">
        <w:rPr>
          <w:rFonts w:ascii="Times New Roman" w:hAnsi="Times New Roman"/>
          <w:sz w:val="26"/>
          <w:szCs w:val="26"/>
        </w:rPr>
        <w:t xml:space="preserve"> этой системы </w:t>
      </w:r>
      <w:r w:rsidR="00874EDA">
        <w:rPr>
          <w:rFonts w:ascii="Times New Roman" w:hAnsi="Times New Roman"/>
          <w:sz w:val="26"/>
          <w:szCs w:val="26"/>
        </w:rPr>
        <w:t>являют</w:t>
      </w:r>
      <w:r w:rsidR="00A063D8">
        <w:rPr>
          <w:rFonts w:ascii="Times New Roman" w:hAnsi="Times New Roman"/>
          <w:sz w:val="26"/>
          <w:szCs w:val="26"/>
        </w:rPr>
        <w:t>ся</w:t>
      </w:r>
      <w:r w:rsidR="00751865" w:rsidRPr="00AC54A4">
        <w:rPr>
          <w:rFonts w:ascii="Times New Roman" w:hAnsi="Times New Roman"/>
          <w:sz w:val="26"/>
          <w:szCs w:val="26"/>
        </w:rPr>
        <w:t xml:space="preserve"> кабинеты репродуктивного здоровья, создаваемые по ф</w:t>
      </w:r>
      <w:r w:rsidR="00336B8D" w:rsidRPr="00AC54A4">
        <w:rPr>
          <w:rFonts w:ascii="Times New Roman" w:hAnsi="Times New Roman"/>
          <w:sz w:val="26"/>
          <w:szCs w:val="26"/>
        </w:rPr>
        <w:t xml:space="preserve">ункциональному признаку на базе Центров здоровья и Центров здоровья детей. </w:t>
      </w:r>
      <w:r w:rsidR="0044757F" w:rsidRPr="00AC54A4">
        <w:rPr>
          <w:rFonts w:ascii="Times New Roman" w:hAnsi="Times New Roman"/>
          <w:sz w:val="26"/>
          <w:szCs w:val="26"/>
        </w:rPr>
        <w:t xml:space="preserve">В них работают </w:t>
      </w:r>
      <w:proofErr w:type="spellStart"/>
      <w:r w:rsidR="0044757F" w:rsidRPr="00AC54A4">
        <w:rPr>
          <w:rFonts w:ascii="Times New Roman" w:hAnsi="Times New Roman"/>
          <w:sz w:val="26"/>
          <w:szCs w:val="26"/>
        </w:rPr>
        <w:t>врачи-</w:t>
      </w:r>
      <w:r w:rsidR="00A063D8">
        <w:rPr>
          <w:rFonts w:ascii="Times New Roman" w:hAnsi="Times New Roman"/>
          <w:sz w:val="26"/>
          <w:szCs w:val="26"/>
        </w:rPr>
        <w:t>андрологи-урологи</w:t>
      </w:r>
      <w:proofErr w:type="spellEnd"/>
      <w:r w:rsidR="0044757F" w:rsidRPr="00AC54A4">
        <w:rPr>
          <w:rFonts w:ascii="Times New Roman" w:hAnsi="Times New Roman"/>
          <w:sz w:val="26"/>
          <w:szCs w:val="26"/>
        </w:rPr>
        <w:t xml:space="preserve">, детские </w:t>
      </w:r>
      <w:proofErr w:type="spellStart"/>
      <w:r w:rsidR="0044757F" w:rsidRPr="00AC54A4">
        <w:rPr>
          <w:rFonts w:ascii="Times New Roman" w:hAnsi="Times New Roman"/>
          <w:sz w:val="26"/>
          <w:szCs w:val="26"/>
        </w:rPr>
        <w:t>урологи-андрологи</w:t>
      </w:r>
      <w:proofErr w:type="spellEnd"/>
      <w:r w:rsidR="0044757F" w:rsidRPr="00AC54A4">
        <w:rPr>
          <w:rFonts w:ascii="Times New Roman" w:hAnsi="Times New Roman"/>
          <w:sz w:val="26"/>
          <w:szCs w:val="26"/>
        </w:rPr>
        <w:t>, акушеры-гинекологи</w:t>
      </w:r>
      <w:r w:rsidR="00A063D8">
        <w:rPr>
          <w:rFonts w:ascii="Times New Roman" w:hAnsi="Times New Roman"/>
          <w:sz w:val="26"/>
          <w:szCs w:val="26"/>
        </w:rPr>
        <w:t>, педиатры</w:t>
      </w:r>
      <w:r w:rsidR="0044757F" w:rsidRPr="00AC54A4">
        <w:rPr>
          <w:rFonts w:ascii="Times New Roman" w:hAnsi="Times New Roman"/>
          <w:sz w:val="26"/>
          <w:szCs w:val="26"/>
        </w:rPr>
        <w:t>. Эти специалисты проводят работу по выявлению факторов риска на основании стандартизированных протоколов профилактики</w:t>
      </w:r>
      <w:r w:rsidR="0047572E" w:rsidRPr="00AC54A4">
        <w:rPr>
          <w:rFonts w:ascii="Times New Roman" w:hAnsi="Times New Roman"/>
          <w:sz w:val="26"/>
          <w:szCs w:val="26"/>
        </w:rPr>
        <w:t>,</w:t>
      </w:r>
      <w:r w:rsidR="00A063D8">
        <w:rPr>
          <w:rFonts w:ascii="Times New Roman" w:hAnsi="Times New Roman"/>
          <w:sz w:val="26"/>
          <w:szCs w:val="26"/>
        </w:rPr>
        <w:t xml:space="preserve"> </w:t>
      </w:r>
      <w:r w:rsidR="00874EDA">
        <w:rPr>
          <w:rFonts w:ascii="Times New Roman" w:hAnsi="Times New Roman"/>
          <w:sz w:val="26"/>
          <w:szCs w:val="26"/>
        </w:rPr>
        <w:t>(</w:t>
      </w:r>
      <w:r w:rsidR="00A063D8">
        <w:rPr>
          <w:rFonts w:ascii="Times New Roman" w:hAnsi="Times New Roman"/>
          <w:sz w:val="26"/>
          <w:szCs w:val="26"/>
        </w:rPr>
        <w:t>к</w:t>
      </w:r>
      <w:r w:rsidR="00874EDA">
        <w:rPr>
          <w:rFonts w:ascii="Times New Roman" w:hAnsi="Times New Roman"/>
          <w:sz w:val="26"/>
          <w:szCs w:val="26"/>
        </w:rPr>
        <w:t>о</w:t>
      </w:r>
      <w:r w:rsidR="00A063D8">
        <w:rPr>
          <w:rFonts w:ascii="Times New Roman" w:hAnsi="Times New Roman"/>
          <w:sz w:val="26"/>
          <w:szCs w:val="26"/>
        </w:rPr>
        <w:t>торые до</w:t>
      </w:r>
      <w:r w:rsidR="00874EDA">
        <w:rPr>
          <w:rFonts w:ascii="Times New Roman" w:hAnsi="Times New Roman"/>
          <w:sz w:val="26"/>
          <w:szCs w:val="26"/>
        </w:rPr>
        <w:t>л</w:t>
      </w:r>
      <w:r w:rsidR="00A063D8">
        <w:rPr>
          <w:rFonts w:ascii="Times New Roman" w:hAnsi="Times New Roman"/>
          <w:sz w:val="26"/>
          <w:szCs w:val="26"/>
        </w:rPr>
        <w:t xml:space="preserve">жны быть </w:t>
      </w:r>
      <w:r w:rsidR="00874EDA">
        <w:rPr>
          <w:rFonts w:ascii="Times New Roman" w:hAnsi="Times New Roman"/>
          <w:sz w:val="26"/>
          <w:szCs w:val="26"/>
        </w:rPr>
        <w:t>по</w:t>
      </w:r>
      <w:r w:rsidR="00A063D8">
        <w:rPr>
          <w:rFonts w:ascii="Times New Roman" w:hAnsi="Times New Roman"/>
          <w:sz w:val="26"/>
          <w:szCs w:val="26"/>
        </w:rPr>
        <w:t>дг</w:t>
      </w:r>
      <w:r w:rsidR="00874EDA">
        <w:rPr>
          <w:rFonts w:ascii="Times New Roman" w:hAnsi="Times New Roman"/>
          <w:sz w:val="26"/>
          <w:szCs w:val="26"/>
        </w:rPr>
        <w:t>отовлены в соответствии с требо</w:t>
      </w:r>
      <w:r w:rsidR="00A063D8">
        <w:rPr>
          <w:rFonts w:ascii="Times New Roman" w:hAnsi="Times New Roman"/>
          <w:sz w:val="26"/>
          <w:szCs w:val="26"/>
        </w:rPr>
        <w:t>ваниями профилактической модели здравоохранения)</w:t>
      </w:r>
      <w:r w:rsidR="0047572E" w:rsidRPr="00AC54A4">
        <w:rPr>
          <w:rFonts w:ascii="Times New Roman" w:hAnsi="Times New Roman"/>
          <w:sz w:val="26"/>
          <w:szCs w:val="26"/>
        </w:rPr>
        <w:t xml:space="preserve"> занима</w:t>
      </w:r>
      <w:r w:rsidR="00A063D8">
        <w:rPr>
          <w:rFonts w:ascii="Times New Roman" w:hAnsi="Times New Roman"/>
          <w:sz w:val="26"/>
          <w:szCs w:val="26"/>
        </w:rPr>
        <w:t>ю</w:t>
      </w:r>
      <w:r w:rsidR="0047572E" w:rsidRPr="00AC54A4">
        <w:rPr>
          <w:rFonts w:ascii="Times New Roman" w:hAnsi="Times New Roman"/>
          <w:sz w:val="26"/>
          <w:szCs w:val="26"/>
        </w:rPr>
        <w:t xml:space="preserve">тся </w:t>
      </w:r>
      <w:proofErr w:type="spellStart"/>
      <w:proofErr w:type="gramStart"/>
      <w:r w:rsidR="0047572E" w:rsidRPr="00AC54A4">
        <w:rPr>
          <w:rFonts w:ascii="Times New Roman" w:hAnsi="Times New Roman"/>
          <w:sz w:val="26"/>
          <w:szCs w:val="26"/>
        </w:rPr>
        <w:t>сан-просвет</w:t>
      </w:r>
      <w:proofErr w:type="spellEnd"/>
      <w:proofErr w:type="gramEnd"/>
      <w:r w:rsidR="0047572E" w:rsidRPr="00AC54A4">
        <w:rPr>
          <w:rFonts w:ascii="Times New Roman" w:hAnsi="Times New Roman"/>
          <w:sz w:val="26"/>
          <w:szCs w:val="26"/>
        </w:rPr>
        <w:t xml:space="preserve"> работой, дополнительной диспансеризацией и скринингом. Основа – это работа с </w:t>
      </w:r>
      <w:r w:rsidR="00A063D8">
        <w:rPr>
          <w:rFonts w:ascii="Times New Roman" w:hAnsi="Times New Roman"/>
          <w:sz w:val="26"/>
          <w:szCs w:val="26"/>
        </w:rPr>
        <w:t xml:space="preserve">условно </w:t>
      </w:r>
      <w:r w:rsidR="0047572E" w:rsidRPr="00AC54A4">
        <w:rPr>
          <w:rFonts w:ascii="Times New Roman" w:hAnsi="Times New Roman"/>
          <w:sz w:val="26"/>
          <w:szCs w:val="26"/>
        </w:rPr>
        <w:t>здоровыми людьми, создание групп репродуктивного здоровья и борьба с факторами риска. Одним из каналов поступления людей в Кабинеты ре</w:t>
      </w:r>
      <w:r w:rsidR="00E76F8D" w:rsidRPr="00AC54A4">
        <w:rPr>
          <w:rFonts w:ascii="Times New Roman" w:hAnsi="Times New Roman"/>
          <w:sz w:val="26"/>
          <w:szCs w:val="26"/>
        </w:rPr>
        <w:t>продуктивного здоровья являются групп</w:t>
      </w:r>
      <w:r w:rsidR="00874EDA">
        <w:rPr>
          <w:rFonts w:ascii="Times New Roman" w:hAnsi="Times New Roman"/>
          <w:sz w:val="26"/>
          <w:szCs w:val="26"/>
        </w:rPr>
        <w:t>ы</w:t>
      </w:r>
      <w:r w:rsidR="00E76F8D" w:rsidRPr="00AC54A4">
        <w:rPr>
          <w:rFonts w:ascii="Times New Roman" w:hAnsi="Times New Roman"/>
          <w:sz w:val="26"/>
          <w:szCs w:val="26"/>
        </w:rPr>
        <w:t xml:space="preserve"> высокого риска репродуктивного регистра</w:t>
      </w:r>
      <w:r w:rsidR="00A063D8">
        <w:rPr>
          <w:rFonts w:ascii="Times New Roman" w:hAnsi="Times New Roman"/>
          <w:sz w:val="26"/>
          <w:szCs w:val="26"/>
        </w:rPr>
        <w:t>, а также</w:t>
      </w:r>
      <w:r w:rsidR="00E76F8D" w:rsidRPr="00AC54A4">
        <w:rPr>
          <w:rFonts w:ascii="Times New Roman" w:hAnsi="Times New Roman"/>
          <w:sz w:val="26"/>
          <w:szCs w:val="26"/>
        </w:rPr>
        <w:t xml:space="preserve"> «Сертификаты молодоженов». </w:t>
      </w:r>
      <w:r w:rsidR="00C176D0" w:rsidRPr="00AC54A4">
        <w:rPr>
          <w:rFonts w:ascii="Times New Roman" w:hAnsi="Times New Roman"/>
          <w:bCs/>
          <w:sz w:val="26"/>
          <w:szCs w:val="26"/>
        </w:rPr>
        <w:t xml:space="preserve"> «Сертификат молодоженов»</w:t>
      </w:r>
      <w:r w:rsidR="00E76F8D" w:rsidRPr="00AC54A4">
        <w:rPr>
          <w:rFonts w:ascii="Times New Roman" w:hAnsi="Times New Roman"/>
          <w:bCs/>
          <w:sz w:val="26"/>
          <w:szCs w:val="26"/>
        </w:rPr>
        <w:t xml:space="preserve"> выдается при подаче заявления в ЗАГС на р</w:t>
      </w:r>
      <w:r w:rsidR="00C176D0" w:rsidRPr="00AC54A4">
        <w:rPr>
          <w:rFonts w:ascii="Times New Roman" w:hAnsi="Times New Roman"/>
          <w:bCs/>
          <w:sz w:val="26"/>
          <w:szCs w:val="26"/>
        </w:rPr>
        <w:t>егистраци</w:t>
      </w:r>
      <w:r w:rsidR="00E76F8D" w:rsidRPr="00AC54A4">
        <w:rPr>
          <w:rFonts w:ascii="Times New Roman" w:hAnsi="Times New Roman"/>
          <w:bCs/>
          <w:sz w:val="26"/>
          <w:szCs w:val="26"/>
        </w:rPr>
        <w:t xml:space="preserve">ю </w:t>
      </w:r>
      <w:r w:rsidR="00C176D0" w:rsidRPr="00AC54A4">
        <w:rPr>
          <w:rFonts w:ascii="Times New Roman" w:hAnsi="Times New Roman"/>
          <w:bCs/>
          <w:sz w:val="26"/>
          <w:szCs w:val="26"/>
        </w:rPr>
        <w:t>брака</w:t>
      </w:r>
      <w:r w:rsidR="00E76F8D" w:rsidRPr="00AC54A4">
        <w:rPr>
          <w:rFonts w:ascii="Times New Roman" w:hAnsi="Times New Roman"/>
          <w:bCs/>
          <w:sz w:val="26"/>
          <w:szCs w:val="26"/>
        </w:rPr>
        <w:t>.</w:t>
      </w:r>
      <w:r w:rsidR="00C176D0" w:rsidRPr="00AC54A4">
        <w:rPr>
          <w:rFonts w:ascii="Times New Roman" w:hAnsi="Times New Roman"/>
          <w:bCs/>
          <w:sz w:val="26"/>
          <w:szCs w:val="26"/>
        </w:rPr>
        <w:t xml:space="preserve"> </w:t>
      </w:r>
      <w:r w:rsidR="00E76F8D" w:rsidRPr="00AC54A4">
        <w:rPr>
          <w:rFonts w:ascii="Times New Roman" w:hAnsi="Times New Roman"/>
          <w:bCs/>
          <w:sz w:val="26"/>
          <w:szCs w:val="26"/>
        </w:rPr>
        <w:t>Сертификаты дают право на б</w:t>
      </w:r>
      <w:r w:rsidR="00C176D0" w:rsidRPr="00AC54A4">
        <w:rPr>
          <w:rFonts w:ascii="Times New Roman" w:hAnsi="Times New Roman"/>
          <w:bCs/>
          <w:sz w:val="26"/>
          <w:szCs w:val="26"/>
        </w:rPr>
        <w:t>есплатное профилактическое обследование</w:t>
      </w:r>
      <w:r w:rsidR="00E76F8D" w:rsidRPr="00AC54A4">
        <w:rPr>
          <w:rFonts w:ascii="Times New Roman" w:hAnsi="Times New Roman"/>
          <w:bCs/>
          <w:sz w:val="26"/>
          <w:szCs w:val="26"/>
        </w:rPr>
        <w:t xml:space="preserve"> репродуктивной системы</w:t>
      </w:r>
      <w:r w:rsidR="00C176D0" w:rsidRPr="00AC54A4">
        <w:rPr>
          <w:rFonts w:ascii="Times New Roman" w:hAnsi="Times New Roman"/>
          <w:bCs/>
          <w:sz w:val="26"/>
          <w:szCs w:val="26"/>
        </w:rPr>
        <w:t xml:space="preserve"> и организаци</w:t>
      </w:r>
      <w:r w:rsidR="00A063D8">
        <w:rPr>
          <w:rFonts w:ascii="Times New Roman" w:hAnsi="Times New Roman"/>
          <w:bCs/>
          <w:sz w:val="26"/>
          <w:szCs w:val="26"/>
        </w:rPr>
        <w:t>ю</w:t>
      </w:r>
      <w:r w:rsidR="00C176D0" w:rsidRPr="00AC54A4">
        <w:rPr>
          <w:rFonts w:ascii="Times New Roman" w:hAnsi="Times New Roman"/>
          <w:bCs/>
          <w:sz w:val="26"/>
          <w:szCs w:val="26"/>
        </w:rPr>
        <w:t xml:space="preserve"> лечения «Цен</w:t>
      </w:r>
      <w:r w:rsidR="00E76F8D" w:rsidRPr="00AC54A4">
        <w:rPr>
          <w:rFonts w:ascii="Times New Roman" w:hAnsi="Times New Roman"/>
          <w:bCs/>
          <w:sz w:val="26"/>
          <w:szCs w:val="26"/>
        </w:rPr>
        <w:t>трами репродуктивного здоровья».</w:t>
      </w:r>
    </w:p>
    <w:p w:rsidR="00874EDA" w:rsidRPr="00AC54A4" w:rsidRDefault="00E76F8D" w:rsidP="00874EDA">
      <w:pPr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AC54A4">
        <w:rPr>
          <w:rFonts w:ascii="Times New Roman" w:hAnsi="Times New Roman"/>
          <w:bCs/>
          <w:sz w:val="26"/>
          <w:szCs w:val="26"/>
        </w:rPr>
        <w:t xml:space="preserve">Центры репродуктивного здоровья </w:t>
      </w:r>
      <w:r w:rsidR="004B3A36" w:rsidRPr="00AC54A4">
        <w:rPr>
          <w:rFonts w:ascii="Times New Roman" w:hAnsi="Times New Roman"/>
          <w:bCs/>
          <w:sz w:val="26"/>
          <w:szCs w:val="26"/>
        </w:rPr>
        <w:t xml:space="preserve">являются учреждениями второго уровня и  </w:t>
      </w:r>
      <w:r w:rsidRPr="00AC54A4">
        <w:rPr>
          <w:rFonts w:ascii="Times New Roman" w:hAnsi="Times New Roman"/>
          <w:bCs/>
          <w:sz w:val="26"/>
          <w:szCs w:val="26"/>
        </w:rPr>
        <w:t>могут быть организова</w:t>
      </w:r>
      <w:r w:rsidR="004B3A36" w:rsidRPr="00AC54A4">
        <w:rPr>
          <w:rFonts w:ascii="Times New Roman" w:hAnsi="Times New Roman"/>
          <w:bCs/>
          <w:sz w:val="26"/>
          <w:szCs w:val="26"/>
        </w:rPr>
        <w:t xml:space="preserve">ны по функциональному признаку на базе Перинатальных центров и иных ЛПУ репродуктивного профиля. Центры репродуктивного здоровья обслуживают примерно </w:t>
      </w:r>
      <w:r w:rsidR="0022561E">
        <w:rPr>
          <w:rFonts w:ascii="Times New Roman" w:hAnsi="Times New Roman"/>
          <w:bCs/>
          <w:sz w:val="26"/>
          <w:szCs w:val="26"/>
        </w:rPr>
        <w:t>2</w:t>
      </w:r>
      <w:r w:rsidR="004B3A36" w:rsidRPr="00AC54A4">
        <w:rPr>
          <w:rFonts w:ascii="Times New Roman" w:hAnsi="Times New Roman"/>
          <w:bCs/>
          <w:sz w:val="26"/>
          <w:szCs w:val="26"/>
        </w:rPr>
        <w:t xml:space="preserve">0% от всех людей, поступающих на 1 уровень в </w:t>
      </w:r>
      <w:r w:rsidR="004B3A36" w:rsidRPr="00AC54A4">
        <w:rPr>
          <w:rFonts w:ascii="Times New Roman" w:hAnsi="Times New Roman"/>
          <w:bCs/>
          <w:sz w:val="26"/>
          <w:szCs w:val="26"/>
        </w:rPr>
        <w:lastRenderedPageBreak/>
        <w:t xml:space="preserve">кабинеты репродуктивного здоровья. </w:t>
      </w:r>
      <w:r w:rsidR="00874EDA">
        <w:rPr>
          <w:rFonts w:ascii="Times New Roman" w:hAnsi="Times New Roman"/>
          <w:bCs/>
          <w:sz w:val="26"/>
          <w:szCs w:val="26"/>
        </w:rPr>
        <w:t>В них проводится основная работа по диагностике и лечении заболеваний репродуктивной системы.</w:t>
      </w:r>
    </w:p>
    <w:p w:rsidR="0011193C" w:rsidRDefault="004B3A36" w:rsidP="00743243">
      <w:pPr>
        <w:ind w:firstLine="360"/>
        <w:jc w:val="both"/>
        <w:rPr>
          <w:rFonts w:ascii="Times New Roman" w:hAnsi="Times New Roman"/>
          <w:bCs/>
          <w:sz w:val="26"/>
          <w:szCs w:val="26"/>
        </w:rPr>
      </w:pPr>
      <w:r w:rsidRPr="00AC54A4">
        <w:rPr>
          <w:rFonts w:ascii="Times New Roman" w:hAnsi="Times New Roman"/>
          <w:bCs/>
          <w:sz w:val="26"/>
          <w:szCs w:val="26"/>
        </w:rPr>
        <w:t xml:space="preserve">Учреждениями третьего уровня являются федеральные  экспертные центры, например, </w:t>
      </w:r>
      <w:r w:rsidR="00C176D0" w:rsidRPr="00AC54A4">
        <w:rPr>
          <w:rFonts w:ascii="Times New Roman" w:hAnsi="Times New Roman"/>
          <w:bCs/>
          <w:sz w:val="26"/>
          <w:szCs w:val="26"/>
        </w:rPr>
        <w:t>НИИ урологии, НЦ здоровья детей, НЦ акушерства и гинекологии</w:t>
      </w:r>
      <w:r w:rsidRPr="00AC54A4">
        <w:rPr>
          <w:rFonts w:ascii="Times New Roman" w:hAnsi="Times New Roman"/>
          <w:bCs/>
          <w:sz w:val="26"/>
          <w:szCs w:val="26"/>
        </w:rPr>
        <w:t xml:space="preserve">. Они </w:t>
      </w:r>
      <w:r w:rsidR="004E6E98">
        <w:rPr>
          <w:rFonts w:ascii="Times New Roman" w:hAnsi="Times New Roman"/>
          <w:bCs/>
          <w:sz w:val="26"/>
          <w:szCs w:val="26"/>
        </w:rPr>
        <w:t xml:space="preserve">должны оказывать </w:t>
      </w:r>
      <w:r w:rsidRPr="00AC54A4">
        <w:rPr>
          <w:rFonts w:ascii="Times New Roman" w:hAnsi="Times New Roman"/>
          <w:bCs/>
          <w:sz w:val="26"/>
          <w:szCs w:val="26"/>
        </w:rPr>
        <w:t>высокотехнологичную</w:t>
      </w:r>
      <w:r w:rsidR="00C176D0" w:rsidRPr="00AC54A4">
        <w:rPr>
          <w:rFonts w:ascii="Times New Roman" w:hAnsi="Times New Roman"/>
          <w:bCs/>
          <w:sz w:val="26"/>
          <w:szCs w:val="26"/>
        </w:rPr>
        <w:t xml:space="preserve"> помощь</w:t>
      </w:r>
      <w:r w:rsidR="004E6E98">
        <w:rPr>
          <w:rFonts w:ascii="Times New Roman" w:hAnsi="Times New Roman"/>
          <w:bCs/>
          <w:sz w:val="26"/>
          <w:szCs w:val="26"/>
        </w:rPr>
        <w:t>,  о</w:t>
      </w:r>
      <w:r w:rsidRPr="00AC54A4">
        <w:rPr>
          <w:rFonts w:ascii="Times New Roman" w:hAnsi="Times New Roman"/>
          <w:bCs/>
          <w:sz w:val="26"/>
          <w:szCs w:val="26"/>
        </w:rPr>
        <w:t>существля</w:t>
      </w:r>
      <w:r w:rsidR="00874EDA">
        <w:rPr>
          <w:rFonts w:ascii="Times New Roman" w:hAnsi="Times New Roman"/>
          <w:bCs/>
          <w:sz w:val="26"/>
          <w:szCs w:val="26"/>
        </w:rPr>
        <w:t>ть</w:t>
      </w:r>
      <w:r w:rsidRPr="00AC54A4">
        <w:rPr>
          <w:rFonts w:ascii="Times New Roman" w:hAnsi="Times New Roman"/>
          <w:bCs/>
          <w:sz w:val="26"/>
          <w:szCs w:val="26"/>
        </w:rPr>
        <w:t xml:space="preserve"> экспертизу</w:t>
      </w:r>
      <w:r w:rsidR="00C176D0" w:rsidRPr="00AC54A4">
        <w:rPr>
          <w:rFonts w:ascii="Times New Roman" w:hAnsi="Times New Roman"/>
          <w:bCs/>
          <w:sz w:val="26"/>
          <w:szCs w:val="26"/>
        </w:rPr>
        <w:t xml:space="preserve"> оказания помощи на предыдущих этапах.</w:t>
      </w:r>
      <w:r w:rsidRPr="00AC54A4">
        <w:rPr>
          <w:rFonts w:ascii="Times New Roman" w:hAnsi="Times New Roman"/>
          <w:bCs/>
          <w:sz w:val="26"/>
          <w:szCs w:val="26"/>
        </w:rPr>
        <w:t xml:space="preserve"> На этот уровень д</w:t>
      </w:r>
      <w:r w:rsidR="00C176D0" w:rsidRPr="00AC54A4">
        <w:rPr>
          <w:rFonts w:ascii="Times New Roman" w:hAnsi="Times New Roman"/>
          <w:bCs/>
          <w:sz w:val="26"/>
          <w:szCs w:val="26"/>
        </w:rPr>
        <w:t>о</w:t>
      </w:r>
      <w:r w:rsidR="004E6E98">
        <w:rPr>
          <w:rFonts w:ascii="Times New Roman" w:hAnsi="Times New Roman"/>
          <w:bCs/>
          <w:sz w:val="26"/>
          <w:szCs w:val="26"/>
        </w:rPr>
        <w:t>лжно до</w:t>
      </w:r>
      <w:r w:rsidR="00C176D0" w:rsidRPr="00AC54A4">
        <w:rPr>
          <w:rFonts w:ascii="Times New Roman" w:hAnsi="Times New Roman"/>
          <w:bCs/>
          <w:sz w:val="26"/>
          <w:szCs w:val="26"/>
        </w:rPr>
        <w:t>ход</w:t>
      </w:r>
      <w:r w:rsidRPr="00AC54A4">
        <w:rPr>
          <w:rFonts w:ascii="Times New Roman" w:hAnsi="Times New Roman"/>
          <w:bCs/>
          <w:sz w:val="26"/>
          <w:szCs w:val="26"/>
        </w:rPr>
        <w:t>ит</w:t>
      </w:r>
      <w:r w:rsidR="004E6E98">
        <w:rPr>
          <w:rFonts w:ascii="Times New Roman" w:hAnsi="Times New Roman"/>
          <w:bCs/>
          <w:sz w:val="26"/>
          <w:szCs w:val="26"/>
        </w:rPr>
        <w:t>ь тол</w:t>
      </w:r>
      <w:r w:rsidRPr="00AC54A4">
        <w:rPr>
          <w:rFonts w:ascii="Times New Roman" w:hAnsi="Times New Roman"/>
          <w:bCs/>
          <w:sz w:val="26"/>
          <w:szCs w:val="26"/>
        </w:rPr>
        <w:t xml:space="preserve">ько </w:t>
      </w:r>
      <w:r w:rsidR="0022561E">
        <w:rPr>
          <w:rFonts w:ascii="Times New Roman" w:hAnsi="Times New Roman"/>
          <w:bCs/>
          <w:sz w:val="26"/>
          <w:szCs w:val="26"/>
        </w:rPr>
        <w:t>10</w:t>
      </w:r>
      <w:r w:rsidRPr="00AC54A4">
        <w:rPr>
          <w:rFonts w:ascii="Times New Roman" w:hAnsi="Times New Roman"/>
          <w:bCs/>
          <w:sz w:val="26"/>
          <w:szCs w:val="26"/>
        </w:rPr>
        <w:t>%</w:t>
      </w:r>
      <w:r w:rsidR="004E6E98">
        <w:rPr>
          <w:rFonts w:ascii="Times New Roman" w:hAnsi="Times New Roman"/>
          <w:bCs/>
          <w:sz w:val="26"/>
          <w:szCs w:val="26"/>
        </w:rPr>
        <w:t xml:space="preserve"> пациентов, выявленных в первичном звене. </w:t>
      </w:r>
    </w:p>
    <w:p w:rsidR="00743243" w:rsidRDefault="00743243" w:rsidP="00743243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Необходимым условием эффективно</w:t>
      </w:r>
      <w:r w:rsidR="001252BC">
        <w:rPr>
          <w:rFonts w:ascii="Times New Roman" w:hAnsi="Times New Roman"/>
          <w:sz w:val="26"/>
          <w:szCs w:val="26"/>
        </w:rPr>
        <w:t xml:space="preserve">го функционирования </w:t>
      </w:r>
      <w:proofErr w:type="spellStart"/>
      <w:r w:rsidR="001252BC">
        <w:rPr>
          <w:rFonts w:ascii="Times New Roman" w:hAnsi="Times New Roman"/>
          <w:sz w:val="26"/>
          <w:szCs w:val="26"/>
        </w:rPr>
        <w:t>трехуровненой</w:t>
      </w:r>
      <w:proofErr w:type="spellEnd"/>
      <w:r w:rsidR="001252BC">
        <w:rPr>
          <w:rFonts w:ascii="Times New Roman" w:hAnsi="Times New Roman"/>
          <w:sz w:val="26"/>
          <w:szCs w:val="26"/>
        </w:rPr>
        <w:t xml:space="preserve"> системы охраны репродуктивного здоровья является в</w:t>
      </w:r>
      <w:r w:rsidRPr="00743243">
        <w:rPr>
          <w:rFonts w:ascii="Times New Roman" w:hAnsi="Times New Roman"/>
          <w:sz w:val="26"/>
          <w:szCs w:val="26"/>
        </w:rPr>
        <w:t>оссоздание доказавшей свою эффективность в СССР иерархической системы штатных главных специалистов, наделенных широкими правами и полномочиями в организации помощи по своему профилю</w:t>
      </w:r>
      <w:r>
        <w:rPr>
          <w:rFonts w:ascii="Times New Roman" w:hAnsi="Times New Roman"/>
          <w:sz w:val="26"/>
          <w:szCs w:val="26"/>
        </w:rPr>
        <w:t>,</w:t>
      </w:r>
      <w:r w:rsidRPr="00743243">
        <w:rPr>
          <w:rFonts w:ascii="Times New Roman" w:hAnsi="Times New Roman"/>
          <w:sz w:val="26"/>
          <w:szCs w:val="26"/>
        </w:rPr>
        <w:t xml:space="preserve"> как главного инструмента управления доступности, эффективности и качества</w:t>
      </w:r>
      <w:r w:rsidR="001252BC">
        <w:rPr>
          <w:rFonts w:ascii="Times New Roman" w:hAnsi="Times New Roman"/>
          <w:sz w:val="26"/>
          <w:szCs w:val="26"/>
        </w:rPr>
        <w:t xml:space="preserve"> медицинской</w:t>
      </w:r>
      <w:r w:rsidRPr="00743243">
        <w:rPr>
          <w:rFonts w:ascii="Times New Roman" w:hAnsi="Times New Roman"/>
          <w:sz w:val="26"/>
          <w:szCs w:val="26"/>
        </w:rPr>
        <w:t xml:space="preserve"> помощи.</w:t>
      </w:r>
    </w:p>
    <w:p w:rsidR="003B4529" w:rsidRDefault="003B4529" w:rsidP="00743243">
      <w:pPr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обеспечения реализации репродуктивного потенциала  населения России необходимо:</w:t>
      </w:r>
    </w:p>
    <w:p w:rsidR="0022561E" w:rsidRDefault="0022561E" w:rsidP="0022561E">
      <w:pPr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Создать и обеспечить нормативное функционирование индикаторов репродуктивного здоровья, а не болезни. Именно на них направить финансировани</w:t>
      </w:r>
      <w:r w:rsidR="00206490">
        <w:rPr>
          <w:rFonts w:ascii="Times New Roman" w:hAnsi="Times New Roman"/>
          <w:sz w:val="26"/>
          <w:szCs w:val="26"/>
        </w:rPr>
        <w:t>е</w:t>
      </w:r>
      <w:r>
        <w:rPr>
          <w:rFonts w:ascii="Times New Roman" w:hAnsi="Times New Roman"/>
          <w:sz w:val="26"/>
          <w:szCs w:val="26"/>
        </w:rPr>
        <w:t>.</w:t>
      </w:r>
    </w:p>
    <w:p w:rsidR="0022561E" w:rsidRDefault="0022561E" w:rsidP="0022561E">
      <w:pPr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Организовать трехуровневую систему охраны репродуктивного здоровья </w:t>
      </w:r>
      <w:r w:rsidRPr="003B4529">
        <w:rPr>
          <w:rFonts w:ascii="Times New Roman" w:hAnsi="Times New Roman"/>
          <w:sz w:val="26"/>
          <w:szCs w:val="26"/>
        </w:rPr>
        <w:t xml:space="preserve">по </w:t>
      </w:r>
      <w:r>
        <w:rPr>
          <w:rFonts w:ascii="Times New Roman" w:hAnsi="Times New Roman"/>
          <w:sz w:val="26"/>
          <w:szCs w:val="26"/>
        </w:rPr>
        <w:t xml:space="preserve">диспансерному </w:t>
      </w:r>
      <w:r w:rsidRPr="003B4529">
        <w:rPr>
          <w:rFonts w:ascii="Times New Roman" w:hAnsi="Times New Roman"/>
          <w:sz w:val="26"/>
          <w:szCs w:val="26"/>
        </w:rPr>
        <w:t>принципу  с безусловным приоритетом первичной медико-санитарной помощи как ключевого инструмента «профилактической</w:t>
      </w:r>
      <w:r>
        <w:rPr>
          <w:rFonts w:ascii="Times New Roman" w:hAnsi="Times New Roman"/>
          <w:sz w:val="26"/>
          <w:szCs w:val="26"/>
        </w:rPr>
        <w:t xml:space="preserve"> репродуктивной</w:t>
      </w:r>
      <w:r w:rsidRPr="003B4529">
        <w:rPr>
          <w:rFonts w:ascii="Times New Roman" w:hAnsi="Times New Roman"/>
          <w:sz w:val="26"/>
          <w:szCs w:val="26"/>
        </w:rPr>
        <w:t xml:space="preserve"> медицины».</w:t>
      </w:r>
    </w:p>
    <w:p w:rsidR="003B4529" w:rsidRPr="003B4529" w:rsidRDefault="003B4529" w:rsidP="003B4529">
      <w:pPr>
        <w:numPr>
          <w:ilvl w:val="0"/>
          <w:numId w:val="16"/>
        </w:numPr>
        <w:jc w:val="both"/>
        <w:rPr>
          <w:rFonts w:ascii="Times New Roman" w:hAnsi="Times New Roman"/>
          <w:sz w:val="26"/>
          <w:szCs w:val="26"/>
        </w:rPr>
      </w:pPr>
      <w:r w:rsidRPr="003B4529">
        <w:rPr>
          <w:rFonts w:ascii="Times New Roman" w:hAnsi="Times New Roman"/>
          <w:sz w:val="26"/>
          <w:szCs w:val="26"/>
        </w:rPr>
        <w:t>Установить приоритет профилактики и первичной медико-санитарной помощи</w:t>
      </w:r>
      <w:r w:rsidR="0022561E">
        <w:rPr>
          <w:rFonts w:ascii="Times New Roman" w:hAnsi="Times New Roman"/>
          <w:sz w:val="26"/>
          <w:szCs w:val="26"/>
        </w:rPr>
        <w:t xml:space="preserve"> на основе борьбы с факторами риска, а не просто раннего выявления уже имеющегося заболеваний, как это сделано сейчас.</w:t>
      </w:r>
      <w:r w:rsidRPr="003B4529">
        <w:rPr>
          <w:rFonts w:ascii="Times New Roman" w:hAnsi="Times New Roman"/>
          <w:sz w:val="26"/>
          <w:szCs w:val="26"/>
        </w:rPr>
        <w:t xml:space="preserve"> Главный принцип – «не дать заболеть».</w:t>
      </w:r>
    </w:p>
    <w:p w:rsidR="00831DD8" w:rsidRDefault="00831DD8" w:rsidP="00831DD8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Для успешной реализации задач по сохранению репродуктивного здоровья необходимы изменения в системе здравоохранения в целом:</w:t>
      </w:r>
    </w:p>
    <w:p w:rsidR="00831DD8" w:rsidRDefault="00831DD8" w:rsidP="00831DD8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Установить приоритет</w:t>
      </w:r>
      <w:r w:rsidR="0022561E">
        <w:rPr>
          <w:rFonts w:ascii="Times New Roman" w:hAnsi="Times New Roman"/>
          <w:sz w:val="26"/>
          <w:szCs w:val="26"/>
        </w:rPr>
        <w:t xml:space="preserve"> первичной </w:t>
      </w:r>
      <w:r>
        <w:rPr>
          <w:rFonts w:ascii="Times New Roman" w:hAnsi="Times New Roman"/>
          <w:sz w:val="26"/>
          <w:szCs w:val="26"/>
        </w:rPr>
        <w:t xml:space="preserve"> профилактики, а не высокотехнологичной помощи.</w:t>
      </w:r>
    </w:p>
    <w:p w:rsidR="00831DD8" w:rsidRDefault="00831DD8" w:rsidP="00831DD8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Изменить порядок финансирования системы здравоохранения.</w:t>
      </w:r>
      <w:r w:rsidR="0022561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Деньги должны идти не за больным, а за здоровым человеком.</w:t>
      </w:r>
    </w:p>
    <w:p w:rsidR="00831DD8" w:rsidRDefault="00831DD8" w:rsidP="00831DD8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Установить ответственность врача и пациента за свое здоровье. </w:t>
      </w:r>
    </w:p>
    <w:p w:rsidR="00831DD8" w:rsidRPr="00AC54A4" w:rsidRDefault="00831DD8" w:rsidP="00831DD8">
      <w:pPr>
        <w:numPr>
          <w:ilvl w:val="0"/>
          <w:numId w:val="17"/>
        </w:numPr>
        <w:jc w:val="both"/>
        <w:rPr>
          <w:rFonts w:ascii="Times New Roman" w:hAnsi="Times New Roman"/>
          <w:sz w:val="26"/>
          <w:szCs w:val="26"/>
        </w:rPr>
      </w:pPr>
      <w:r w:rsidRPr="00831DD8">
        <w:rPr>
          <w:rFonts w:ascii="Times New Roman" w:hAnsi="Times New Roman"/>
          <w:sz w:val="26"/>
          <w:szCs w:val="26"/>
        </w:rPr>
        <w:t>Интеграция (административная, организационная, финансовая) всех ЛПУ государственных форм собственности (кроме военной медицины) в рамках единой Наци</w:t>
      </w:r>
      <w:r>
        <w:rPr>
          <w:rFonts w:ascii="Times New Roman" w:hAnsi="Times New Roman"/>
          <w:sz w:val="26"/>
          <w:szCs w:val="26"/>
        </w:rPr>
        <w:t xml:space="preserve">ональной системы здравоохранения. </w:t>
      </w:r>
    </w:p>
    <w:sectPr w:rsidR="00831DD8" w:rsidRPr="00AC54A4" w:rsidSect="00911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E5D7A"/>
    <w:multiLevelType w:val="hybridMultilevel"/>
    <w:tmpl w:val="B2CCBF20"/>
    <w:lvl w:ilvl="0" w:tplc="D90096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600E03A">
      <w:start w:val="65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73612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B2DE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081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37A19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9CA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508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003D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1A010C1"/>
    <w:multiLevelType w:val="hybridMultilevel"/>
    <w:tmpl w:val="D4FEAC50"/>
    <w:lvl w:ilvl="0" w:tplc="0F582A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278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46B1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5462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7387D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2666A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66E77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843D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D0DC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6436C12"/>
    <w:multiLevelType w:val="hybridMultilevel"/>
    <w:tmpl w:val="912CB9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30E94"/>
    <w:multiLevelType w:val="hybridMultilevel"/>
    <w:tmpl w:val="FF504BFA"/>
    <w:lvl w:ilvl="0" w:tplc="43C2BC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467B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1609E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1428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27621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ABE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5238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7E4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0B84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58E247B"/>
    <w:multiLevelType w:val="hybridMultilevel"/>
    <w:tmpl w:val="7DE8D296"/>
    <w:lvl w:ilvl="0" w:tplc="63DA0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B4322A">
      <w:start w:val="120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941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34A4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4EE14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C4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2642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D408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20E9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230C3205"/>
    <w:multiLevelType w:val="hybridMultilevel"/>
    <w:tmpl w:val="802A4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9B465E"/>
    <w:multiLevelType w:val="hybridMultilevel"/>
    <w:tmpl w:val="CC767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A4C31"/>
    <w:multiLevelType w:val="hybridMultilevel"/>
    <w:tmpl w:val="68EA73A4"/>
    <w:lvl w:ilvl="0" w:tplc="FF7AB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1C8D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AEBE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48D0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64F5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F04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6A3A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A49B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01493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D56103"/>
    <w:multiLevelType w:val="hybridMultilevel"/>
    <w:tmpl w:val="DBACF394"/>
    <w:lvl w:ilvl="0" w:tplc="3968B5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C06C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5008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39EA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65C75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982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2AAC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0AF2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00C80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490F17F8"/>
    <w:multiLevelType w:val="hybridMultilevel"/>
    <w:tmpl w:val="5C441048"/>
    <w:lvl w:ilvl="0" w:tplc="0ED452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07A3F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8479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100D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D831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A0D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8ADE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9CFF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888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496578B3"/>
    <w:multiLevelType w:val="hybridMultilevel"/>
    <w:tmpl w:val="5EF8EBF6"/>
    <w:lvl w:ilvl="0" w:tplc="CA8CF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68D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5CEC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DA46F7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8CCF8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2A69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C4C81A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A4A3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2740DF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6B622F"/>
    <w:multiLevelType w:val="hybridMultilevel"/>
    <w:tmpl w:val="A09023DA"/>
    <w:lvl w:ilvl="0" w:tplc="0166FD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045F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E5244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68BF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70B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1E8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262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EDC3E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D07B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58BA2826"/>
    <w:multiLevelType w:val="hybridMultilevel"/>
    <w:tmpl w:val="C7081E98"/>
    <w:lvl w:ilvl="0" w:tplc="2AA44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3C5D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8C8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383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4CE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84C5E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EE48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2EA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E2A7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5A891031"/>
    <w:multiLevelType w:val="hybridMultilevel"/>
    <w:tmpl w:val="BED234E6"/>
    <w:lvl w:ilvl="0" w:tplc="AC224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8CFEB4">
      <w:start w:val="10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B98C7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70E4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E0A9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1A62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AC23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F84E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3B49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704960A3"/>
    <w:multiLevelType w:val="hybridMultilevel"/>
    <w:tmpl w:val="3DB6D9F4"/>
    <w:lvl w:ilvl="0" w:tplc="19B48C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4C57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F87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632D9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98F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FC6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2698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587A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BC21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7B554CF8"/>
    <w:multiLevelType w:val="hybridMultilevel"/>
    <w:tmpl w:val="3336E61E"/>
    <w:lvl w:ilvl="0" w:tplc="B11853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B2423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E23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885C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BAD9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58853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F427F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288B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6C38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7CB750AB"/>
    <w:multiLevelType w:val="hybridMultilevel"/>
    <w:tmpl w:val="0CC43FB0"/>
    <w:lvl w:ilvl="0" w:tplc="AFB2F0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9BED1B2">
      <w:start w:val="80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BA5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9691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42E13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842C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8C8D1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CA3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7E55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10"/>
  </w:num>
  <w:num w:numId="8">
    <w:abstractNumId w:val="15"/>
  </w:num>
  <w:num w:numId="9">
    <w:abstractNumId w:val="11"/>
  </w:num>
  <w:num w:numId="10">
    <w:abstractNumId w:val="4"/>
  </w:num>
  <w:num w:numId="11">
    <w:abstractNumId w:val="9"/>
  </w:num>
  <w:num w:numId="12">
    <w:abstractNumId w:val="12"/>
  </w:num>
  <w:num w:numId="13">
    <w:abstractNumId w:val="14"/>
  </w:num>
  <w:num w:numId="14">
    <w:abstractNumId w:val="16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4A231B"/>
    <w:rsid w:val="00004CCA"/>
    <w:rsid w:val="0002364D"/>
    <w:rsid w:val="000E6AC3"/>
    <w:rsid w:val="0011193C"/>
    <w:rsid w:val="001252BC"/>
    <w:rsid w:val="0013272A"/>
    <w:rsid w:val="00184981"/>
    <w:rsid w:val="001F12FC"/>
    <w:rsid w:val="00206490"/>
    <w:rsid w:val="0022561E"/>
    <w:rsid w:val="002319D9"/>
    <w:rsid w:val="00244797"/>
    <w:rsid w:val="002F482B"/>
    <w:rsid w:val="00336B8D"/>
    <w:rsid w:val="00367E33"/>
    <w:rsid w:val="003B4529"/>
    <w:rsid w:val="003C246B"/>
    <w:rsid w:val="0044757F"/>
    <w:rsid w:val="0047572E"/>
    <w:rsid w:val="004A231B"/>
    <w:rsid w:val="004B3A36"/>
    <w:rsid w:val="004D6849"/>
    <w:rsid w:val="004E68BA"/>
    <w:rsid w:val="004E6E98"/>
    <w:rsid w:val="005C244B"/>
    <w:rsid w:val="005C27BE"/>
    <w:rsid w:val="006F2D44"/>
    <w:rsid w:val="00743243"/>
    <w:rsid w:val="00751865"/>
    <w:rsid w:val="00792CD6"/>
    <w:rsid w:val="007A3AD0"/>
    <w:rsid w:val="007F7F20"/>
    <w:rsid w:val="00831DD8"/>
    <w:rsid w:val="00874EDA"/>
    <w:rsid w:val="008D4740"/>
    <w:rsid w:val="008E38C6"/>
    <w:rsid w:val="00911B44"/>
    <w:rsid w:val="009913E4"/>
    <w:rsid w:val="00A063D8"/>
    <w:rsid w:val="00A15B37"/>
    <w:rsid w:val="00AC54A4"/>
    <w:rsid w:val="00AD22A1"/>
    <w:rsid w:val="00B40AAE"/>
    <w:rsid w:val="00BA413C"/>
    <w:rsid w:val="00C176D0"/>
    <w:rsid w:val="00C53946"/>
    <w:rsid w:val="00C60286"/>
    <w:rsid w:val="00C94184"/>
    <w:rsid w:val="00CD2813"/>
    <w:rsid w:val="00DB1217"/>
    <w:rsid w:val="00DB45CC"/>
    <w:rsid w:val="00E06445"/>
    <w:rsid w:val="00E76F8D"/>
    <w:rsid w:val="00EF3ACC"/>
    <w:rsid w:val="00F0316D"/>
    <w:rsid w:val="00F15E70"/>
    <w:rsid w:val="00F16574"/>
    <w:rsid w:val="00FE4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B44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93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C176D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C5394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12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679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496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832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091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15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0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95867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93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500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92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61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3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3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7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6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73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942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8067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85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97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592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9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7984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4486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209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520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7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56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24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33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3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87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607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525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1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6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62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62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921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73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716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410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32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596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108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07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0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10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255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93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329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4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53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54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84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17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72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592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3145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8092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94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832259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5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29607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8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7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3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9748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627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51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97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45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791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79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54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6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351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400749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1748</Words>
  <Characters>9966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Andrology</dc:creator>
  <cp:lastModifiedBy>Степан</cp:lastModifiedBy>
  <cp:revision>5</cp:revision>
  <dcterms:created xsi:type="dcterms:W3CDTF">2015-09-05T10:04:00Z</dcterms:created>
  <dcterms:modified xsi:type="dcterms:W3CDTF">2015-09-05T17:10:00Z</dcterms:modified>
</cp:coreProperties>
</file>